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9" w:line="219" w:lineRule="auto"/>
        <w:jc w:val="center"/>
        <w:outlineLvl w:val="0"/>
        <w:rPr>
          <w:rFonts w:ascii="微软雅黑" w:hAnsi="微软雅黑" w:eastAsia="微软雅黑" w:cs="微软雅黑"/>
          <w:b/>
          <w:bCs/>
          <w:lang w:eastAsia="zh-CN"/>
        </w:rPr>
      </w:pPr>
      <w:r>
        <w:rPr>
          <w:rFonts w:hint="eastAsia" w:ascii="仿宋_GB2312" w:hAnsi="仿宋_GB2312" w:cs="仿宋_GB2312"/>
          <w:b/>
          <w:bCs/>
          <w:sz w:val="32"/>
          <w:szCs w:val="32"/>
          <w:lang w:eastAsia="zh-CN"/>
        </w:rPr>
        <w:t>附件1： 莆田</w:t>
      </w:r>
      <w:r>
        <w:rPr>
          <w:rFonts w:hint="eastAsia" w:ascii="宋体" w:hAnsi="宋体" w:eastAsia="宋体" w:cs="宋体"/>
          <w:b/>
          <w:bCs/>
          <w:sz w:val="32"/>
          <w:szCs w:val="32"/>
          <w:lang w:eastAsia="zh-CN"/>
        </w:rPr>
        <w:t>市第一</w:t>
      </w:r>
      <w:r>
        <w:rPr>
          <w:rFonts w:hint="eastAsia" w:ascii="仿宋_GB2312" w:hAnsi="仿宋_GB2312" w:cs="仿宋_GB2312"/>
          <w:b/>
          <w:bCs/>
          <w:sz w:val="32"/>
          <w:szCs w:val="32"/>
          <w:lang w:eastAsia="zh-CN"/>
        </w:rPr>
        <w:t>医院</w:t>
      </w:r>
      <w:r>
        <w:rPr>
          <w:rFonts w:hint="eastAsia" w:ascii="仿宋_GB2312" w:hAnsi="仿宋_GB2312" w:eastAsia="仿宋_GB2312" w:cs="仿宋_GB2312"/>
          <w:b/>
          <w:bCs/>
          <w:sz w:val="32"/>
          <w:szCs w:val="32"/>
          <w:lang w:eastAsia="zh-CN"/>
        </w:rPr>
        <w:t>主要收治肿瘤病种基因检测适应症和对应检测项目（2024年版）</w:t>
      </w:r>
    </w:p>
    <w:tbl>
      <w:tblPr>
        <w:tblStyle w:val="7"/>
        <w:tblW w:w="1492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63"/>
        <w:gridCol w:w="613"/>
        <w:gridCol w:w="1424"/>
        <w:gridCol w:w="1559"/>
        <w:gridCol w:w="3402"/>
        <w:gridCol w:w="2268"/>
        <w:gridCol w:w="1276"/>
        <w:gridCol w:w="851"/>
        <w:gridCol w:w="1417"/>
        <w:gridCol w:w="17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6" w:hRule="atLeast"/>
        </w:trPr>
        <w:tc>
          <w:tcPr>
            <w:tcW w:w="363" w:type="dxa"/>
            <w:vAlign w:val="center"/>
          </w:tcPr>
          <w:p>
            <w:pPr>
              <w:spacing w:before="155" w:line="180" w:lineRule="exact"/>
              <w:rPr>
                <w:rFonts w:cs="黑体" w:asciiTheme="majorEastAsia" w:hAnsiTheme="majorEastAsia" w:eastAsiaTheme="majorEastAsia"/>
                <w:b/>
                <w:bCs/>
                <w:sz w:val="14"/>
                <w:szCs w:val="14"/>
              </w:rPr>
            </w:pPr>
            <w:r>
              <w:rPr>
                <w:rFonts w:cs="黑体" w:asciiTheme="majorEastAsia" w:hAnsiTheme="majorEastAsia" w:eastAsiaTheme="majorEastAsia"/>
                <w:b/>
                <w:bCs/>
                <w:spacing w:val="1"/>
                <w:sz w:val="14"/>
                <w:szCs w:val="14"/>
              </w:rPr>
              <w:t>序号</w:t>
            </w:r>
          </w:p>
        </w:tc>
        <w:tc>
          <w:tcPr>
            <w:tcW w:w="613" w:type="dxa"/>
            <w:vAlign w:val="center"/>
          </w:tcPr>
          <w:p>
            <w:pPr>
              <w:spacing w:before="155" w:line="180" w:lineRule="exact"/>
              <w:rPr>
                <w:rFonts w:cs="黑体" w:asciiTheme="majorEastAsia" w:hAnsiTheme="majorEastAsia" w:eastAsiaTheme="majorEastAsia"/>
                <w:b/>
                <w:bCs/>
                <w:sz w:val="14"/>
                <w:szCs w:val="14"/>
              </w:rPr>
            </w:pPr>
            <w:r>
              <w:rPr>
                <w:rFonts w:cs="黑体" w:asciiTheme="majorEastAsia" w:hAnsiTheme="majorEastAsia" w:eastAsiaTheme="majorEastAsia"/>
                <w:b/>
                <w:bCs/>
                <w:spacing w:val="3"/>
                <w:sz w:val="14"/>
                <w:szCs w:val="14"/>
              </w:rPr>
              <w:t>病种名称</w:t>
            </w:r>
          </w:p>
        </w:tc>
        <w:tc>
          <w:tcPr>
            <w:tcW w:w="1424" w:type="dxa"/>
            <w:vAlign w:val="center"/>
          </w:tcPr>
          <w:p>
            <w:pPr>
              <w:spacing w:before="154" w:line="180" w:lineRule="exact"/>
              <w:ind w:firstLine="157" w:firstLineChars="100"/>
              <w:jc w:val="center"/>
              <w:rPr>
                <w:rFonts w:cs="微软雅黑" w:asciiTheme="majorEastAsia" w:hAnsiTheme="majorEastAsia" w:eastAsiaTheme="majorEastAsia"/>
                <w:b/>
                <w:bCs/>
                <w:sz w:val="15"/>
                <w:szCs w:val="15"/>
              </w:rPr>
            </w:pPr>
            <w:r>
              <w:rPr>
                <w:rFonts w:hint="eastAsia" w:cs="微软雅黑" w:asciiTheme="majorEastAsia" w:hAnsiTheme="majorEastAsia" w:eastAsiaTheme="majorEastAsia"/>
                <w:b/>
                <w:bCs/>
                <w:spacing w:val="3"/>
                <w:sz w:val="15"/>
                <w:szCs w:val="15"/>
              </w:rPr>
              <w:t>对应检测基因</w:t>
            </w:r>
          </w:p>
        </w:tc>
        <w:tc>
          <w:tcPr>
            <w:tcW w:w="1559" w:type="dxa"/>
            <w:vAlign w:val="center"/>
          </w:tcPr>
          <w:p>
            <w:pPr>
              <w:spacing w:before="155" w:line="180" w:lineRule="exact"/>
              <w:ind w:left="359"/>
              <w:jc w:val="center"/>
              <w:rPr>
                <w:rFonts w:cs="黑体" w:asciiTheme="majorEastAsia" w:hAnsiTheme="majorEastAsia" w:eastAsiaTheme="majorEastAsia"/>
                <w:b/>
                <w:bCs/>
                <w:sz w:val="14"/>
                <w:szCs w:val="14"/>
              </w:rPr>
            </w:pPr>
            <w:r>
              <w:rPr>
                <w:rFonts w:cs="黑体" w:asciiTheme="majorEastAsia" w:hAnsiTheme="majorEastAsia" w:eastAsiaTheme="majorEastAsia"/>
                <w:b/>
                <w:bCs/>
                <w:spacing w:val="3"/>
                <w:sz w:val="14"/>
                <w:szCs w:val="14"/>
              </w:rPr>
              <w:t>检测意义</w:t>
            </w:r>
          </w:p>
        </w:tc>
        <w:tc>
          <w:tcPr>
            <w:tcW w:w="3402" w:type="dxa"/>
            <w:vAlign w:val="center"/>
          </w:tcPr>
          <w:p>
            <w:pPr>
              <w:spacing w:before="154" w:line="180" w:lineRule="exact"/>
              <w:ind w:firstLine="1172" w:firstLineChars="800"/>
              <w:rPr>
                <w:rFonts w:cs="黑体" w:asciiTheme="majorEastAsia" w:hAnsiTheme="majorEastAsia" w:eastAsiaTheme="majorEastAsia"/>
                <w:b/>
                <w:bCs/>
                <w:sz w:val="14"/>
                <w:szCs w:val="14"/>
              </w:rPr>
            </w:pPr>
            <w:r>
              <w:rPr>
                <w:rFonts w:cs="黑体" w:asciiTheme="majorEastAsia" w:hAnsiTheme="majorEastAsia" w:eastAsiaTheme="majorEastAsia"/>
                <w:b/>
                <w:bCs/>
                <w:spacing w:val="3"/>
                <w:sz w:val="14"/>
                <w:szCs w:val="14"/>
              </w:rPr>
              <w:t>指南推荐药物</w:t>
            </w:r>
          </w:p>
        </w:tc>
        <w:tc>
          <w:tcPr>
            <w:tcW w:w="2268" w:type="dxa"/>
            <w:vAlign w:val="center"/>
          </w:tcPr>
          <w:p>
            <w:pPr>
              <w:spacing w:before="155" w:line="180" w:lineRule="exact"/>
              <w:ind w:firstLine="293" w:firstLineChars="200"/>
              <w:jc w:val="center"/>
              <w:rPr>
                <w:rFonts w:cs="黑体" w:asciiTheme="majorEastAsia" w:hAnsiTheme="majorEastAsia" w:eastAsiaTheme="majorEastAsia"/>
                <w:b/>
                <w:bCs/>
                <w:sz w:val="14"/>
                <w:szCs w:val="14"/>
              </w:rPr>
            </w:pPr>
            <w:r>
              <w:rPr>
                <w:rFonts w:cs="黑体" w:asciiTheme="majorEastAsia" w:hAnsiTheme="majorEastAsia" w:eastAsiaTheme="majorEastAsia"/>
                <w:b/>
                <w:bCs/>
                <w:spacing w:val="3"/>
                <w:sz w:val="14"/>
                <w:szCs w:val="14"/>
              </w:rPr>
              <w:t>基因检测适应症</w:t>
            </w:r>
          </w:p>
        </w:tc>
        <w:tc>
          <w:tcPr>
            <w:tcW w:w="1276" w:type="dxa"/>
            <w:vAlign w:val="center"/>
          </w:tcPr>
          <w:p>
            <w:pPr>
              <w:spacing w:before="155" w:line="180" w:lineRule="exact"/>
              <w:ind w:left="192"/>
              <w:jc w:val="center"/>
              <w:rPr>
                <w:rFonts w:cs="黑体" w:asciiTheme="majorEastAsia" w:hAnsiTheme="majorEastAsia" w:eastAsiaTheme="majorEastAsia"/>
                <w:b/>
                <w:bCs/>
                <w:spacing w:val="1"/>
                <w:sz w:val="14"/>
                <w:szCs w:val="14"/>
              </w:rPr>
            </w:pPr>
            <w:r>
              <w:rPr>
                <w:rFonts w:cs="黑体" w:asciiTheme="majorEastAsia" w:hAnsiTheme="majorEastAsia" w:eastAsiaTheme="majorEastAsia"/>
                <w:b/>
                <w:bCs/>
                <w:spacing w:val="1"/>
                <w:sz w:val="14"/>
                <w:szCs w:val="14"/>
              </w:rPr>
              <w:t>诊疗规范或指南依据</w:t>
            </w:r>
          </w:p>
        </w:tc>
        <w:tc>
          <w:tcPr>
            <w:tcW w:w="851" w:type="dxa"/>
            <w:vAlign w:val="center"/>
          </w:tcPr>
          <w:p>
            <w:pPr>
              <w:spacing w:before="155" w:line="140" w:lineRule="exact"/>
              <w:ind w:left="193"/>
              <w:jc w:val="center"/>
              <w:rPr>
                <w:rFonts w:cs="黑体" w:asciiTheme="majorEastAsia" w:hAnsiTheme="majorEastAsia" w:eastAsiaTheme="majorEastAsia"/>
                <w:b/>
                <w:bCs/>
                <w:spacing w:val="1"/>
                <w:sz w:val="14"/>
                <w:szCs w:val="14"/>
              </w:rPr>
            </w:pPr>
            <w:r>
              <w:rPr>
                <w:rFonts w:hint="eastAsia" w:cs="黑体" w:asciiTheme="majorEastAsia" w:hAnsiTheme="majorEastAsia" w:eastAsiaTheme="majorEastAsia"/>
                <w:b/>
                <w:bCs/>
                <w:spacing w:val="1"/>
                <w:sz w:val="14"/>
                <w:szCs w:val="14"/>
                <w:lang w:eastAsia="zh-CN"/>
              </w:rPr>
              <w:t>是否本机构开展</w:t>
            </w:r>
          </w:p>
        </w:tc>
        <w:tc>
          <w:tcPr>
            <w:tcW w:w="1417" w:type="dxa"/>
            <w:vAlign w:val="center"/>
          </w:tcPr>
          <w:p>
            <w:pPr>
              <w:spacing w:before="155" w:line="180" w:lineRule="exact"/>
              <w:ind w:left="192"/>
              <w:jc w:val="center"/>
              <w:rPr>
                <w:rFonts w:cs="黑体" w:asciiTheme="majorEastAsia" w:hAnsiTheme="majorEastAsia" w:eastAsiaTheme="majorEastAsia"/>
                <w:b/>
                <w:bCs/>
                <w:spacing w:val="1"/>
                <w:sz w:val="14"/>
                <w:szCs w:val="14"/>
              </w:rPr>
            </w:pPr>
            <w:r>
              <w:rPr>
                <w:rFonts w:hint="eastAsia" w:cs="黑体" w:asciiTheme="majorEastAsia" w:hAnsiTheme="majorEastAsia" w:eastAsiaTheme="majorEastAsia"/>
                <w:b/>
                <w:bCs/>
                <w:spacing w:val="1"/>
                <w:sz w:val="14"/>
                <w:szCs w:val="14"/>
                <w:lang w:eastAsia="zh-CN"/>
              </w:rPr>
              <w:t>是否外送，外送机构</w:t>
            </w:r>
          </w:p>
        </w:tc>
        <w:tc>
          <w:tcPr>
            <w:tcW w:w="1755" w:type="dxa"/>
            <w:vAlign w:val="center"/>
          </w:tcPr>
          <w:p>
            <w:pPr>
              <w:spacing w:before="155" w:line="180" w:lineRule="exact"/>
              <w:jc w:val="center"/>
              <w:rPr>
                <w:rFonts w:cs="黑体" w:asciiTheme="majorEastAsia" w:hAnsiTheme="majorEastAsia" w:eastAsiaTheme="majorEastAsia"/>
                <w:b/>
                <w:bCs/>
                <w:spacing w:val="1"/>
                <w:sz w:val="14"/>
                <w:szCs w:val="14"/>
                <w:lang w:eastAsia="zh-CN"/>
              </w:rPr>
            </w:pPr>
            <w:r>
              <w:rPr>
                <w:rFonts w:hint="eastAsia" w:cs="黑体" w:asciiTheme="majorEastAsia" w:hAnsiTheme="majorEastAsia" w:eastAsiaTheme="majorEastAsia"/>
                <w:b/>
                <w:bCs/>
                <w:spacing w:val="1"/>
                <w:sz w:val="14"/>
                <w:szCs w:val="14"/>
                <w:lang w:eastAsia="zh-CN"/>
              </w:rPr>
              <w:t>价格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27" w:hRule="atLeast"/>
        </w:trPr>
        <w:tc>
          <w:tcPr>
            <w:tcW w:w="363" w:type="dxa"/>
            <w:vMerge w:val="restart"/>
            <w:tcBorders>
              <w:bottom w:val="nil"/>
            </w:tcBorders>
          </w:tcPr>
          <w:p>
            <w:pPr>
              <w:spacing w:line="180" w:lineRule="exact"/>
            </w:pPr>
          </w:p>
          <w:p>
            <w:pPr>
              <w:spacing w:line="180" w:lineRule="exact"/>
            </w:pPr>
          </w:p>
          <w:p>
            <w:pPr>
              <w:spacing w:line="180" w:lineRule="exact"/>
            </w:pPr>
          </w:p>
          <w:p>
            <w:pPr>
              <w:spacing w:line="180" w:lineRule="exact"/>
            </w:pPr>
          </w:p>
          <w:p>
            <w:pPr>
              <w:spacing w:line="180" w:lineRule="exact"/>
            </w:pPr>
          </w:p>
          <w:p>
            <w:pPr>
              <w:spacing w:line="180" w:lineRule="exact"/>
            </w:pPr>
          </w:p>
          <w:p>
            <w:pPr>
              <w:spacing w:line="180" w:lineRule="exact"/>
            </w:pPr>
          </w:p>
          <w:p>
            <w:pPr>
              <w:spacing w:line="180" w:lineRule="exact"/>
            </w:pPr>
          </w:p>
          <w:p>
            <w:pPr>
              <w:spacing w:line="180" w:lineRule="exact"/>
            </w:pPr>
          </w:p>
          <w:p>
            <w:pPr>
              <w:spacing w:line="180" w:lineRule="exact"/>
            </w:pPr>
          </w:p>
          <w:p>
            <w:pPr>
              <w:pStyle w:val="8"/>
              <w:spacing w:before="60" w:line="180" w:lineRule="exact"/>
              <w:ind w:left="36"/>
            </w:pPr>
            <w:r>
              <w:t>1</w:t>
            </w:r>
          </w:p>
        </w:tc>
        <w:tc>
          <w:tcPr>
            <w:tcW w:w="613" w:type="dxa"/>
            <w:vMerge w:val="restart"/>
            <w:tcBorders>
              <w:bottom w:val="nil"/>
            </w:tcBorders>
          </w:tcPr>
          <w:p>
            <w:pPr>
              <w:spacing w:line="180" w:lineRule="exact"/>
            </w:pPr>
          </w:p>
          <w:p>
            <w:pPr>
              <w:spacing w:line="180" w:lineRule="exact"/>
            </w:pPr>
          </w:p>
          <w:p>
            <w:pPr>
              <w:spacing w:line="180" w:lineRule="exact"/>
            </w:pPr>
          </w:p>
          <w:p>
            <w:pPr>
              <w:spacing w:line="180" w:lineRule="exact"/>
            </w:pPr>
          </w:p>
          <w:p>
            <w:pPr>
              <w:spacing w:line="180" w:lineRule="exact"/>
            </w:pPr>
          </w:p>
          <w:p>
            <w:pPr>
              <w:spacing w:line="180" w:lineRule="exact"/>
            </w:pPr>
          </w:p>
          <w:p>
            <w:pPr>
              <w:spacing w:line="180" w:lineRule="exact"/>
            </w:pPr>
          </w:p>
          <w:p>
            <w:pPr>
              <w:spacing w:line="180" w:lineRule="exact"/>
            </w:pPr>
          </w:p>
          <w:p>
            <w:pPr>
              <w:spacing w:line="180" w:lineRule="exact"/>
            </w:pPr>
          </w:p>
          <w:p>
            <w:pPr>
              <w:spacing w:line="180" w:lineRule="exact"/>
            </w:pPr>
          </w:p>
          <w:p>
            <w:pPr>
              <w:pStyle w:val="8"/>
              <w:spacing w:before="60" w:line="180" w:lineRule="exact"/>
              <w:ind w:left="17"/>
            </w:pPr>
            <w:r>
              <w:rPr>
                <w:spacing w:val="3"/>
              </w:rPr>
              <w:t>泛实体肿瘤</w:t>
            </w:r>
          </w:p>
        </w:tc>
        <w:tc>
          <w:tcPr>
            <w:tcW w:w="1424" w:type="dxa"/>
          </w:tcPr>
          <w:p>
            <w:pPr>
              <w:spacing w:line="180" w:lineRule="exact"/>
              <w:rPr>
                <w:rFonts w:ascii="微软雅黑" w:hAnsi="微软雅黑" w:eastAsia="微软雅黑" w:cs="微软雅黑"/>
                <w:sz w:val="15"/>
                <w:szCs w:val="15"/>
              </w:rPr>
            </w:pPr>
          </w:p>
          <w:p>
            <w:pPr>
              <w:spacing w:line="180" w:lineRule="exact"/>
              <w:rPr>
                <w:rFonts w:ascii="微软雅黑" w:hAnsi="微软雅黑" w:eastAsia="微软雅黑" w:cs="微软雅黑"/>
                <w:sz w:val="15"/>
                <w:szCs w:val="15"/>
              </w:rPr>
            </w:pPr>
          </w:p>
          <w:p>
            <w:pPr>
              <w:spacing w:line="180" w:lineRule="exact"/>
              <w:rPr>
                <w:rFonts w:ascii="微软雅黑" w:hAnsi="微软雅黑" w:eastAsia="微软雅黑" w:cs="微软雅黑"/>
                <w:sz w:val="15"/>
                <w:szCs w:val="15"/>
              </w:rPr>
            </w:pPr>
          </w:p>
          <w:p>
            <w:pPr>
              <w:spacing w:line="180" w:lineRule="exact"/>
              <w:rPr>
                <w:rFonts w:ascii="微软雅黑" w:hAnsi="微软雅黑" w:eastAsia="微软雅黑" w:cs="微软雅黑"/>
                <w:sz w:val="15"/>
                <w:szCs w:val="15"/>
              </w:rPr>
            </w:pPr>
          </w:p>
          <w:p>
            <w:pPr>
              <w:pStyle w:val="8"/>
              <w:spacing w:before="60" w:line="180" w:lineRule="exact"/>
              <w:ind w:left="29"/>
              <w:rPr>
                <w:sz w:val="15"/>
                <w:szCs w:val="15"/>
              </w:rPr>
            </w:pPr>
            <w:r>
              <w:rPr>
                <w:rFonts w:hint="eastAsia"/>
                <w:spacing w:val="-3"/>
                <w:position w:val="2"/>
                <w:sz w:val="15"/>
                <w:szCs w:val="15"/>
              </w:rPr>
              <w:t>MSI</w:t>
            </w:r>
          </w:p>
        </w:tc>
        <w:tc>
          <w:tcPr>
            <w:tcW w:w="1559" w:type="dxa"/>
          </w:tcPr>
          <w:p>
            <w:pPr>
              <w:spacing w:line="180" w:lineRule="exact"/>
            </w:pPr>
          </w:p>
          <w:p>
            <w:pPr>
              <w:spacing w:line="180" w:lineRule="exact"/>
            </w:pPr>
          </w:p>
          <w:p>
            <w:pPr>
              <w:spacing w:line="180" w:lineRule="exact"/>
            </w:pPr>
          </w:p>
          <w:p>
            <w:pPr>
              <w:spacing w:line="180" w:lineRule="exact"/>
            </w:pPr>
          </w:p>
          <w:p>
            <w:pPr>
              <w:pStyle w:val="8"/>
              <w:spacing w:before="60" w:line="180" w:lineRule="exact"/>
              <w:ind w:left="25"/>
            </w:pPr>
            <w:r>
              <w:rPr>
                <w:spacing w:val="2"/>
              </w:rPr>
              <w:t>2.指导免疫治疗</w:t>
            </w:r>
          </w:p>
        </w:tc>
        <w:tc>
          <w:tcPr>
            <w:tcW w:w="3402" w:type="dxa"/>
          </w:tcPr>
          <w:p>
            <w:pPr>
              <w:pStyle w:val="8"/>
              <w:spacing w:before="95" w:line="180" w:lineRule="exact"/>
              <w:ind w:left="18" w:right="26" w:firstLine="14"/>
              <w:rPr>
                <w:lang w:eastAsia="zh-CN"/>
              </w:rPr>
            </w:pPr>
            <w:r>
              <w:rPr>
                <w:spacing w:val="4"/>
                <w:lang w:eastAsia="zh-CN"/>
              </w:rPr>
              <w:t>1.</w:t>
            </w:r>
            <w:r>
              <w:rPr>
                <w:lang w:eastAsia="zh-CN"/>
              </w:rPr>
              <w:t>NMPA</w:t>
            </w:r>
            <w:r>
              <w:rPr>
                <w:spacing w:val="4"/>
                <w:lang w:eastAsia="zh-CN"/>
              </w:rPr>
              <w:t>批准普特利单抗用于既往接受一线及以上系统</w:t>
            </w:r>
            <w:r>
              <w:rPr>
                <w:spacing w:val="3"/>
                <w:lang w:eastAsia="zh-CN"/>
              </w:rPr>
              <w:t>治疗失败的高度微卫星不</w:t>
            </w:r>
            <w:r>
              <w:rPr>
                <w:lang w:eastAsia="zh-CN"/>
              </w:rPr>
              <w:t xml:space="preserve"> </w:t>
            </w:r>
            <w:r>
              <w:rPr>
                <w:spacing w:val="-1"/>
                <w:lang w:eastAsia="zh-CN"/>
              </w:rPr>
              <w:t>稳定型 （MSI-H） 或错配修复缺陷型 （dMMR） 的晚期实体瘤患者的治疗。</w:t>
            </w:r>
          </w:p>
          <w:p>
            <w:pPr>
              <w:pStyle w:val="8"/>
              <w:spacing w:before="6" w:line="180" w:lineRule="exact"/>
              <w:ind w:left="19" w:right="14" w:firstLine="7"/>
              <w:rPr>
                <w:lang w:eastAsia="zh-CN"/>
              </w:rPr>
            </w:pPr>
            <w:r>
              <w:rPr>
                <w:spacing w:val="4"/>
                <w:lang w:eastAsia="zh-CN"/>
              </w:rPr>
              <w:t>2.</w:t>
            </w:r>
            <w:r>
              <w:rPr>
                <w:lang w:eastAsia="zh-CN"/>
              </w:rPr>
              <w:t>NMPA</w:t>
            </w:r>
            <w:r>
              <w:rPr>
                <w:spacing w:val="4"/>
                <w:lang w:eastAsia="zh-CN"/>
              </w:rPr>
              <w:t>批准斯鲁利单抗用于经过标准治疗失败的、不可切除或转移性</w:t>
            </w:r>
            <w:r>
              <w:rPr>
                <w:spacing w:val="3"/>
                <w:lang w:eastAsia="zh-CN"/>
              </w:rPr>
              <w:t>高度微卫</w:t>
            </w:r>
            <w:r>
              <w:rPr>
                <w:lang w:eastAsia="zh-CN"/>
              </w:rPr>
              <w:t xml:space="preserve"> </w:t>
            </w:r>
            <w:r>
              <w:rPr>
                <w:spacing w:val="1"/>
                <w:lang w:eastAsia="zh-CN"/>
              </w:rPr>
              <w:t>星不稳定型 （</w:t>
            </w:r>
            <w:r>
              <w:rPr>
                <w:lang w:eastAsia="zh-CN"/>
              </w:rPr>
              <w:t>MSI</w:t>
            </w:r>
            <w:r>
              <w:rPr>
                <w:spacing w:val="1"/>
                <w:lang w:eastAsia="zh-CN"/>
              </w:rPr>
              <w:t>-H） 实体瘤。3.</w:t>
            </w:r>
            <w:r>
              <w:rPr>
                <w:lang w:eastAsia="zh-CN"/>
              </w:rPr>
              <w:t>NMPA</w:t>
            </w:r>
            <w:r>
              <w:rPr>
                <w:spacing w:val="1"/>
                <w:lang w:eastAsia="zh-CN"/>
              </w:rPr>
              <w:t>批准恩沃利单抗用于不可切除或转移性</w:t>
            </w:r>
            <w:r>
              <w:rPr>
                <w:spacing w:val="17"/>
                <w:w w:val="102"/>
                <w:lang w:eastAsia="zh-CN"/>
              </w:rPr>
              <w:t xml:space="preserve"> </w:t>
            </w:r>
            <w:r>
              <w:rPr>
                <w:spacing w:val="-1"/>
                <w:lang w:eastAsia="zh-CN"/>
              </w:rPr>
              <w:t>微卫星高度不稳定 （MSI-H） 或错配修复基因缺陷型 （dMMR） 的成人晚期实</w:t>
            </w:r>
            <w:r>
              <w:rPr>
                <w:spacing w:val="3"/>
                <w:lang w:eastAsia="zh-CN"/>
              </w:rPr>
              <w:t xml:space="preserve">   体瘤患者的治疗， 包括既往经过氟尿嘧啶类、奥沙利</w:t>
            </w:r>
            <w:r>
              <w:rPr>
                <w:spacing w:val="2"/>
                <w:lang w:eastAsia="zh-CN"/>
              </w:rPr>
              <w:t>铂和伊立替康治疗后出现疾</w:t>
            </w:r>
            <w:r>
              <w:rPr>
                <w:lang w:eastAsia="zh-CN"/>
              </w:rPr>
              <w:t xml:space="preserve"> </w:t>
            </w:r>
            <w:r>
              <w:rPr>
                <w:spacing w:val="4"/>
                <w:lang w:eastAsia="zh-CN"/>
              </w:rPr>
              <w:t>病进展的晚期结直肠癌患者以及既往治疗后出现疾病进展且无满意替代治</w:t>
            </w:r>
            <w:r>
              <w:rPr>
                <w:spacing w:val="3"/>
                <w:lang w:eastAsia="zh-CN"/>
              </w:rPr>
              <w:t>疗方案</w:t>
            </w:r>
            <w:r>
              <w:rPr>
                <w:lang w:eastAsia="zh-CN"/>
              </w:rPr>
              <w:t xml:space="preserve"> </w:t>
            </w:r>
            <w:r>
              <w:rPr>
                <w:spacing w:val="4"/>
                <w:lang w:eastAsia="zh-CN"/>
              </w:rPr>
              <w:t>的其他晚期实体瘤患者。4.</w:t>
            </w:r>
            <w:r>
              <w:rPr>
                <w:lang w:eastAsia="zh-CN"/>
              </w:rPr>
              <w:t>NMPA</w:t>
            </w:r>
            <w:r>
              <w:rPr>
                <w:spacing w:val="4"/>
                <w:lang w:eastAsia="zh-CN"/>
              </w:rPr>
              <w:t>批准替雷丽珠单抗用于不可切除或转移性微卫</w:t>
            </w:r>
            <w:r>
              <w:rPr>
                <w:spacing w:val="3"/>
                <w:lang w:eastAsia="zh-CN"/>
              </w:rPr>
              <w:t xml:space="preserve"> </w:t>
            </w:r>
            <w:r>
              <w:rPr>
                <w:spacing w:val="4"/>
                <w:lang w:eastAsia="zh-CN"/>
              </w:rPr>
              <w:t>星高度不稳定型(</w:t>
            </w:r>
            <w:r>
              <w:rPr>
                <w:lang w:eastAsia="zh-CN"/>
              </w:rPr>
              <w:t>MSI</w:t>
            </w:r>
            <w:r>
              <w:rPr>
                <w:spacing w:val="4"/>
                <w:lang w:eastAsia="zh-CN"/>
              </w:rPr>
              <w:t>-H) 或错配修复基因缺陷型(</w:t>
            </w:r>
            <w:r>
              <w:rPr>
                <w:lang w:eastAsia="zh-CN"/>
              </w:rPr>
              <w:t>dMMR</w:t>
            </w:r>
            <w:r>
              <w:rPr>
                <w:spacing w:val="4"/>
                <w:lang w:eastAsia="zh-CN"/>
              </w:rPr>
              <w:t>)的成人晚</w:t>
            </w:r>
            <w:r>
              <w:rPr>
                <w:spacing w:val="3"/>
                <w:lang w:eastAsia="zh-CN"/>
              </w:rPr>
              <w:t>期实体瘤。</w:t>
            </w:r>
          </w:p>
          <w:p>
            <w:pPr>
              <w:pStyle w:val="8"/>
              <w:spacing w:before="6" w:line="180" w:lineRule="exact"/>
              <w:ind w:left="41" w:right="472" w:hanging="11"/>
              <w:rPr>
                <w:lang w:eastAsia="zh-CN"/>
              </w:rPr>
            </w:pPr>
            <w:r>
              <w:rPr>
                <w:spacing w:val="4"/>
                <w:lang w:eastAsia="zh-CN"/>
              </w:rPr>
              <w:t>5.</w:t>
            </w:r>
            <w:r>
              <w:rPr>
                <w:lang w:eastAsia="zh-CN"/>
              </w:rPr>
              <w:t>FDA</w:t>
            </w:r>
            <w:r>
              <w:rPr>
                <w:spacing w:val="4"/>
                <w:lang w:eastAsia="zh-CN"/>
              </w:rPr>
              <w:t>加速批准帕博利珠单抗用于无法切除或转</w:t>
            </w:r>
            <w:r>
              <w:rPr>
                <w:spacing w:val="3"/>
                <w:lang w:eastAsia="zh-CN"/>
              </w:rPr>
              <w:t>移性的高微卫星不稳定性</w:t>
            </w:r>
            <w:r>
              <w:rPr>
                <w:lang w:eastAsia="zh-CN"/>
              </w:rPr>
              <w:t xml:space="preserve"> </w:t>
            </w:r>
            <w:r>
              <w:rPr>
                <w:spacing w:val="-1"/>
                <w:lang w:eastAsia="zh-CN"/>
              </w:rPr>
              <w:t>（MSI-H） 或错配修复缺陷 （dMMR） 的成人和儿童实体</w:t>
            </w:r>
            <w:r>
              <w:rPr>
                <w:spacing w:val="-2"/>
                <w:lang w:eastAsia="zh-CN"/>
              </w:rPr>
              <w:t>瘤患者</w:t>
            </w:r>
          </w:p>
        </w:tc>
        <w:tc>
          <w:tcPr>
            <w:tcW w:w="2268" w:type="dxa"/>
          </w:tcPr>
          <w:p>
            <w:pPr>
              <w:spacing w:line="180" w:lineRule="exact"/>
              <w:rPr>
                <w:lang w:eastAsia="zh-CN"/>
              </w:rPr>
            </w:pPr>
          </w:p>
          <w:p>
            <w:pPr>
              <w:spacing w:line="180" w:lineRule="exact"/>
              <w:rPr>
                <w:lang w:eastAsia="zh-CN"/>
              </w:rPr>
            </w:pPr>
          </w:p>
          <w:p>
            <w:pPr>
              <w:spacing w:line="180" w:lineRule="exact"/>
              <w:rPr>
                <w:lang w:eastAsia="zh-CN"/>
              </w:rPr>
            </w:pPr>
          </w:p>
          <w:p>
            <w:pPr>
              <w:spacing w:line="180" w:lineRule="exact"/>
              <w:rPr>
                <w:lang w:eastAsia="zh-CN"/>
              </w:rPr>
            </w:pPr>
          </w:p>
          <w:p>
            <w:pPr>
              <w:pStyle w:val="8"/>
              <w:spacing w:before="60" w:line="180" w:lineRule="exact"/>
              <w:ind w:left="19"/>
            </w:pPr>
            <w:r>
              <w:rPr>
                <w:spacing w:val="5"/>
              </w:rPr>
              <w:t>/</w:t>
            </w:r>
          </w:p>
        </w:tc>
        <w:tc>
          <w:tcPr>
            <w:tcW w:w="1276" w:type="dxa"/>
          </w:tcPr>
          <w:p>
            <w:pPr>
              <w:spacing w:line="180" w:lineRule="exact"/>
            </w:pPr>
          </w:p>
          <w:p>
            <w:pPr>
              <w:spacing w:line="180" w:lineRule="exact"/>
            </w:pPr>
          </w:p>
          <w:p>
            <w:pPr>
              <w:spacing w:line="180" w:lineRule="exact"/>
            </w:pPr>
          </w:p>
          <w:p>
            <w:pPr>
              <w:spacing w:line="180" w:lineRule="exact"/>
            </w:pPr>
          </w:p>
          <w:p>
            <w:pPr>
              <w:pStyle w:val="8"/>
              <w:spacing w:before="60" w:line="180" w:lineRule="exact"/>
              <w:ind w:left="23"/>
            </w:pPr>
            <w:r>
              <w:rPr>
                <w:spacing w:val="5"/>
              </w:rPr>
              <w:t>各病种</w:t>
            </w:r>
            <w:r>
              <w:t>NCCN</w:t>
            </w:r>
            <w:r>
              <w:rPr>
                <w:spacing w:val="5"/>
              </w:rPr>
              <w:t>指南</w:t>
            </w:r>
          </w:p>
        </w:tc>
        <w:tc>
          <w:tcPr>
            <w:tcW w:w="851" w:type="dxa"/>
            <w:vAlign w:val="center"/>
          </w:tcPr>
          <w:p>
            <w:pPr>
              <w:pStyle w:val="8"/>
              <w:spacing w:before="60" w:line="180" w:lineRule="exact"/>
              <w:ind w:left="19"/>
              <w:jc w:val="center"/>
            </w:pPr>
            <w:r>
              <w:rPr>
                <w:rFonts w:hint="eastAsia"/>
                <w:lang w:eastAsia="zh-CN"/>
              </w:rPr>
              <w:t>否</w:t>
            </w:r>
          </w:p>
        </w:tc>
        <w:tc>
          <w:tcPr>
            <w:tcW w:w="1417" w:type="dxa"/>
            <w:vAlign w:val="center"/>
          </w:tcPr>
          <w:p>
            <w:pPr>
              <w:pStyle w:val="8"/>
              <w:spacing w:before="60" w:line="180" w:lineRule="exact"/>
              <w:ind w:left="23"/>
              <w:jc w:val="center"/>
            </w:pPr>
            <w:r>
              <w:rPr>
                <w:rFonts w:hint="eastAsia"/>
                <w:lang w:eastAsia="zh-CN"/>
              </w:rPr>
              <w:t>是，福建省肿瘤医院</w:t>
            </w:r>
          </w:p>
        </w:tc>
        <w:tc>
          <w:tcPr>
            <w:tcW w:w="1755" w:type="dxa"/>
            <w:vAlign w:val="center"/>
          </w:tcPr>
          <w:p>
            <w:pPr>
              <w:pStyle w:val="8"/>
              <w:spacing w:before="60" w:line="180" w:lineRule="exact"/>
              <w:ind w:left="23"/>
              <w:jc w:val="center"/>
              <w:rPr>
                <w:sz w:val="15"/>
                <w:szCs w:val="15"/>
                <w:lang w:eastAsia="zh-CN"/>
              </w:rPr>
            </w:pPr>
            <w:r>
              <w:rPr>
                <w:rFonts w:hint="eastAsia"/>
                <w:sz w:val="15"/>
                <w:szCs w:val="15"/>
                <w:lang w:eastAsia="zh-CN"/>
              </w:rPr>
              <w:t>1500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363" w:type="dxa"/>
            <w:vMerge w:val="continue"/>
            <w:tcBorders>
              <w:top w:val="nil"/>
              <w:bottom w:val="nil"/>
            </w:tcBorders>
          </w:tcPr>
          <w:p>
            <w:pPr>
              <w:spacing w:line="180" w:lineRule="exact"/>
              <w:rPr>
                <w:lang w:eastAsia="zh-CN"/>
              </w:rPr>
            </w:pPr>
          </w:p>
        </w:tc>
        <w:tc>
          <w:tcPr>
            <w:tcW w:w="613" w:type="dxa"/>
            <w:vMerge w:val="continue"/>
            <w:tcBorders>
              <w:top w:val="nil"/>
              <w:bottom w:val="nil"/>
            </w:tcBorders>
          </w:tcPr>
          <w:p>
            <w:pPr>
              <w:spacing w:line="180" w:lineRule="exact"/>
              <w:rPr>
                <w:lang w:eastAsia="zh-CN"/>
              </w:rPr>
            </w:pPr>
          </w:p>
        </w:tc>
        <w:tc>
          <w:tcPr>
            <w:tcW w:w="1424" w:type="dxa"/>
          </w:tcPr>
          <w:p>
            <w:pPr>
              <w:pStyle w:val="8"/>
              <w:spacing w:before="117" w:line="180" w:lineRule="exact"/>
              <w:ind w:left="29"/>
              <w:rPr>
                <w:sz w:val="15"/>
                <w:szCs w:val="15"/>
              </w:rPr>
            </w:pPr>
            <w:r>
              <w:rPr>
                <w:rFonts w:hint="eastAsia"/>
                <w:sz w:val="15"/>
                <w:szCs w:val="15"/>
              </w:rPr>
              <w:t>ERBB</w:t>
            </w:r>
            <w:r>
              <w:rPr>
                <w:rFonts w:hint="eastAsia"/>
                <w:spacing w:val="2"/>
                <w:sz w:val="15"/>
                <w:szCs w:val="15"/>
              </w:rPr>
              <w:t>2(</w:t>
            </w:r>
            <w:r>
              <w:rPr>
                <w:rFonts w:hint="eastAsia"/>
                <w:sz w:val="15"/>
                <w:szCs w:val="15"/>
              </w:rPr>
              <w:t>HER</w:t>
            </w:r>
            <w:r>
              <w:rPr>
                <w:rFonts w:hint="eastAsia"/>
                <w:spacing w:val="2"/>
                <w:sz w:val="15"/>
                <w:szCs w:val="15"/>
              </w:rPr>
              <w:t>2)</w:t>
            </w:r>
          </w:p>
        </w:tc>
        <w:tc>
          <w:tcPr>
            <w:tcW w:w="1559" w:type="dxa"/>
          </w:tcPr>
          <w:p>
            <w:pPr>
              <w:pStyle w:val="8"/>
              <w:spacing w:before="144" w:line="180" w:lineRule="exact"/>
              <w:ind w:left="32"/>
            </w:pPr>
            <w:r>
              <w:rPr>
                <w:spacing w:val="1"/>
              </w:rPr>
              <w:t>1.指导靶向治疗</w:t>
            </w:r>
          </w:p>
        </w:tc>
        <w:tc>
          <w:tcPr>
            <w:tcW w:w="3402" w:type="dxa"/>
          </w:tcPr>
          <w:p>
            <w:pPr>
              <w:pStyle w:val="8"/>
              <w:spacing w:before="14" w:line="180" w:lineRule="exact"/>
              <w:ind w:left="28" w:right="78" w:firstLine="4"/>
              <w:rPr>
                <w:lang w:eastAsia="zh-CN"/>
              </w:rPr>
            </w:pPr>
            <w:r>
              <w:rPr>
                <w:lang w:eastAsia="zh-CN"/>
              </w:rPr>
              <w:t>FDA</w:t>
            </w:r>
            <w:r>
              <w:rPr>
                <w:spacing w:val="2"/>
                <w:lang w:eastAsia="zh-CN"/>
              </w:rPr>
              <w:t>加速批准德曲妥珠单抗用于治疗不可切除或转移性的</w:t>
            </w:r>
            <w:r>
              <w:rPr>
                <w:lang w:eastAsia="zh-CN"/>
              </w:rPr>
              <w:t>HER</w:t>
            </w:r>
            <w:r>
              <w:rPr>
                <w:spacing w:val="2"/>
                <w:lang w:eastAsia="zh-CN"/>
              </w:rPr>
              <w:t>2阳性 （免疫组化</w:t>
            </w:r>
            <w:r>
              <w:rPr>
                <w:spacing w:val="16"/>
                <w:lang w:eastAsia="zh-CN"/>
              </w:rPr>
              <w:t xml:space="preserve"> </w:t>
            </w:r>
            <w:r>
              <w:rPr>
                <w:spacing w:val="-5"/>
                <w:lang w:eastAsia="zh-CN"/>
              </w:rPr>
              <w:t>3+） 实体瘤</w:t>
            </w:r>
          </w:p>
        </w:tc>
        <w:tc>
          <w:tcPr>
            <w:tcW w:w="2268" w:type="dxa"/>
          </w:tcPr>
          <w:p>
            <w:pPr>
              <w:pStyle w:val="8"/>
              <w:spacing w:before="118" w:line="180" w:lineRule="exact"/>
              <w:ind w:left="19"/>
            </w:pPr>
            <w:r>
              <w:rPr>
                <w:spacing w:val="5"/>
              </w:rPr>
              <w:t>/</w:t>
            </w:r>
          </w:p>
        </w:tc>
        <w:tc>
          <w:tcPr>
            <w:tcW w:w="1276" w:type="dxa"/>
          </w:tcPr>
          <w:p>
            <w:pPr>
              <w:pStyle w:val="8"/>
              <w:spacing w:before="144" w:line="180" w:lineRule="exact"/>
              <w:ind w:left="23"/>
            </w:pPr>
            <w:r>
              <w:rPr>
                <w:spacing w:val="5"/>
              </w:rPr>
              <w:t>各病种</w:t>
            </w:r>
            <w:r>
              <w:t>NCCN</w:t>
            </w:r>
            <w:r>
              <w:rPr>
                <w:spacing w:val="5"/>
              </w:rPr>
              <w:t>指南</w:t>
            </w:r>
          </w:p>
        </w:tc>
        <w:tc>
          <w:tcPr>
            <w:tcW w:w="851" w:type="dxa"/>
            <w:vAlign w:val="center"/>
          </w:tcPr>
          <w:p>
            <w:pPr>
              <w:pStyle w:val="8"/>
              <w:spacing w:before="60" w:line="180" w:lineRule="exact"/>
              <w:ind w:left="19"/>
              <w:jc w:val="center"/>
              <w:rPr>
                <w:lang w:eastAsia="zh-CN"/>
              </w:rPr>
            </w:pPr>
            <w:r>
              <w:rPr>
                <w:rFonts w:hint="eastAsia"/>
                <w:lang w:eastAsia="zh-CN"/>
              </w:rPr>
              <w:t>是</w:t>
            </w:r>
          </w:p>
        </w:tc>
        <w:tc>
          <w:tcPr>
            <w:tcW w:w="1417" w:type="dxa"/>
            <w:vAlign w:val="center"/>
          </w:tcPr>
          <w:p>
            <w:pPr>
              <w:pStyle w:val="8"/>
              <w:spacing w:before="144" w:line="140" w:lineRule="exact"/>
              <w:ind w:left="23"/>
              <w:jc w:val="center"/>
              <w:rPr>
                <w:lang w:eastAsia="zh-CN"/>
              </w:rPr>
            </w:pPr>
          </w:p>
        </w:tc>
        <w:tc>
          <w:tcPr>
            <w:tcW w:w="1755" w:type="dxa"/>
            <w:vAlign w:val="center"/>
          </w:tcPr>
          <w:p>
            <w:pPr>
              <w:pStyle w:val="8"/>
              <w:spacing w:before="144" w:line="140" w:lineRule="exact"/>
              <w:ind w:left="23"/>
              <w:jc w:val="center"/>
              <w:rPr>
                <w:sz w:val="15"/>
                <w:szCs w:val="15"/>
                <w:lang w:eastAsia="zh-CN"/>
              </w:rPr>
            </w:pPr>
            <w:r>
              <w:rPr>
                <w:rFonts w:hint="eastAsia"/>
                <w:sz w:val="15"/>
                <w:szCs w:val="15"/>
                <w:lang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8" w:hRule="atLeast"/>
        </w:trPr>
        <w:tc>
          <w:tcPr>
            <w:tcW w:w="363" w:type="dxa"/>
            <w:vMerge w:val="continue"/>
            <w:tcBorders>
              <w:top w:val="nil"/>
            </w:tcBorders>
          </w:tcPr>
          <w:p>
            <w:pPr>
              <w:spacing w:line="180" w:lineRule="exact"/>
            </w:pPr>
          </w:p>
        </w:tc>
        <w:tc>
          <w:tcPr>
            <w:tcW w:w="613" w:type="dxa"/>
            <w:vMerge w:val="continue"/>
            <w:tcBorders>
              <w:top w:val="nil"/>
            </w:tcBorders>
          </w:tcPr>
          <w:p>
            <w:pPr>
              <w:spacing w:line="180" w:lineRule="exact"/>
            </w:pPr>
          </w:p>
        </w:tc>
        <w:tc>
          <w:tcPr>
            <w:tcW w:w="1424" w:type="dxa"/>
          </w:tcPr>
          <w:p>
            <w:pPr>
              <w:pStyle w:val="8"/>
              <w:spacing w:before="162" w:line="180" w:lineRule="exact"/>
              <w:ind w:left="29"/>
              <w:rPr>
                <w:sz w:val="15"/>
                <w:szCs w:val="15"/>
              </w:rPr>
            </w:pPr>
            <w:r>
              <w:rPr>
                <w:rFonts w:hint="eastAsia"/>
                <w:spacing w:val="-2"/>
                <w:sz w:val="15"/>
                <w:szCs w:val="15"/>
              </w:rPr>
              <w:t>BRAF</w:t>
            </w:r>
          </w:p>
        </w:tc>
        <w:tc>
          <w:tcPr>
            <w:tcW w:w="1559" w:type="dxa"/>
          </w:tcPr>
          <w:p>
            <w:pPr>
              <w:pStyle w:val="8"/>
              <w:spacing w:before="151" w:line="180" w:lineRule="exact"/>
              <w:ind w:left="32"/>
            </w:pPr>
            <w:r>
              <w:rPr>
                <w:spacing w:val="1"/>
              </w:rPr>
              <w:t>1.指导靶向治疗</w:t>
            </w:r>
          </w:p>
        </w:tc>
        <w:tc>
          <w:tcPr>
            <w:tcW w:w="3402" w:type="dxa"/>
          </w:tcPr>
          <w:p>
            <w:pPr>
              <w:pStyle w:val="8"/>
              <w:spacing w:before="150" w:line="180" w:lineRule="exact"/>
              <w:ind w:left="32"/>
              <w:rPr>
                <w:lang w:eastAsia="zh-CN"/>
              </w:rPr>
            </w:pPr>
            <w:r>
              <w:rPr>
                <w:lang w:eastAsia="zh-CN"/>
              </w:rPr>
              <w:t>FDA</w:t>
            </w:r>
            <w:r>
              <w:rPr>
                <w:spacing w:val="3"/>
                <w:lang w:eastAsia="zh-CN"/>
              </w:rPr>
              <w:t>批准曲美替尼联合达拉非尼用于治疗</w:t>
            </w:r>
            <w:r>
              <w:rPr>
                <w:lang w:eastAsia="zh-CN"/>
              </w:rPr>
              <w:t>BRAF</w:t>
            </w:r>
            <w:r>
              <w:rPr>
                <w:spacing w:val="25"/>
                <w:lang w:eastAsia="zh-CN"/>
              </w:rPr>
              <w:t xml:space="preserve"> </w:t>
            </w:r>
            <w:r>
              <w:rPr>
                <w:lang w:eastAsia="zh-CN"/>
              </w:rPr>
              <w:t>p</w:t>
            </w:r>
            <w:r>
              <w:rPr>
                <w:spacing w:val="3"/>
                <w:lang w:eastAsia="zh-CN"/>
              </w:rPr>
              <w:t>.V600E突变的实体瘤</w:t>
            </w:r>
          </w:p>
        </w:tc>
        <w:tc>
          <w:tcPr>
            <w:tcW w:w="2268" w:type="dxa"/>
          </w:tcPr>
          <w:p>
            <w:pPr>
              <w:pStyle w:val="8"/>
              <w:spacing w:before="124" w:line="180" w:lineRule="exact"/>
              <w:ind w:left="19"/>
            </w:pPr>
            <w:r>
              <w:rPr>
                <w:spacing w:val="5"/>
              </w:rPr>
              <w:t>/</w:t>
            </w:r>
          </w:p>
        </w:tc>
        <w:tc>
          <w:tcPr>
            <w:tcW w:w="1276" w:type="dxa"/>
          </w:tcPr>
          <w:p>
            <w:pPr>
              <w:pStyle w:val="8"/>
              <w:spacing w:before="151" w:line="180" w:lineRule="exact"/>
              <w:ind w:left="23"/>
            </w:pPr>
            <w:r>
              <w:rPr>
                <w:spacing w:val="5"/>
              </w:rPr>
              <w:t>各病种</w:t>
            </w:r>
            <w:r>
              <w:t>NCCN</w:t>
            </w:r>
            <w:r>
              <w:rPr>
                <w:spacing w:val="5"/>
              </w:rPr>
              <w:t>指南</w:t>
            </w:r>
          </w:p>
        </w:tc>
        <w:tc>
          <w:tcPr>
            <w:tcW w:w="851" w:type="dxa"/>
            <w:vAlign w:val="center"/>
          </w:tcPr>
          <w:p>
            <w:pPr>
              <w:pStyle w:val="8"/>
              <w:spacing w:before="60" w:line="180" w:lineRule="exact"/>
              <w:ind w:left="19"/>
              <w:jc w:val="center"/>
              <w:rPr>
                <w:lang w:eastAsia="zh-CN"/>
              </w:rPr>
            </w:pPr>
            <w:r>
              <w:rPr>
                <w:rFonts w:hint="eastAsia"/>
                <w:lang w:eastAsia="zh-CN"/>
              </w:rPr>
              <w:t>是</w:t>
            </w:r>
          </w:p>
        </w:tc>
        <w:tc>
          <w:tcPr>
            <w:tcW w:w="1417" w:type="dxa"/>
            <w:vAlign w:val="center"/>
          </w:tcPr>
          <w:p>
            <w:pPr>
              <w:pStyle w:val="8"/>
              <w:spacing w:before="151" w:line="180" w:lineRule="exact"/>
              <w:ind w:left="23"/>
              <w:jc w:val="center"/>
              <w:rPr>
                <w:lang w:eastAsia="zh-CN"/>
              </w:rPr>
            </w:pPr>
          </w:p>
        </w:tc>
        <w:tc>
          <w:tcPr>
            <w:tcW w:w="1755" w:type="dxa"/>
            <w:vAlign w:val="center"/>
          </w:tcPr>
          <w:p>
            <w:pPr>
              <w:pStyle w:val="8"/>
              <w:spacing w:before="151" w:line="180" w:lineRule="exact"/>
              <w:ind w:left="23"/>
              <w:jc w:val="center"/>
              <w:rPr>
                <w:sz w:val="15"/>
                <w:szCs w:val="15"/>
                <w:lang w:eastAsia="zh-CN"/>
              </w:rPr>
            </w:pPr>
            <w:r>
              <w:rPr>
                <w:rFonts w:hint="eastAsia"/>
                <w:sz w:val="15"/>
                <w:szCs w:val="15"/>
                <w:lang w:eastAsia="zh-CN"/>
              </w:rPr>
              <w:t>1100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363" w:type="dxa"/>
            <w:vMerge w:val="continue"/>
          </w:tcPr>
          <w:p>
            <w:pPr>
              <w:pStyle w:val="8"/>
              <w:spacing w:before="61" w:line="180" w:lineRule="exact"/>
              <w:ind w:left="29"/>
            </w:pPr>
          </w:p>
        </w:tc>
        <w:tc>
          <w:tcPr>
            <w:tcW w:w="613" w:type="dxa"/>
            <w:vMerge w:val="continue"/>
          </w:tcPr>
          <w:p>
            <w:pPr>
              <w:pStyle w:val="8"/>
              <w:spacing w:before="60" w:line="180" w:lineRule="exact"/>
              <w:ind w:left="16"/>
              <w:rPr>
                <w:spacing w:val="3"/>
              </w:rPr>
            </w:pPr>
          </w:p>
        </w:tc>
        <w:tc>
          <w:tcPr>
            <w:tcW w:w="1424" w:type="dxa"/>
          </w:tcPr>
          <w:p>
            <w:pPr>
              <w:pStyle w:val="8"/>
              <w:spacing w:line="180" w:lineRule="exact"/>
              <w:ind w:left="18" w:right="48" w:firstLine="11"/>
              <w:jc w:val="both"/>
              <w:rPr>
                <w:sz w:val="15"/>
                <w:szCs w:val="15"/>
                <w:lang w:eastAsia="zh-CN"/>
              </w:rPr>
            </w:pPr>
            <w:r>
              <w:rPr>
                <w:rFonts w:hint="eastAsia"/>
                <w:sz w:val="15"/>
                <w:szCs w:val="15"/>
                <w:lang w:eastAsia="zh-CN"/>
              </w:rPr>
              <w:t>BRCA1/2</w:t>
            </w:r>
          </w:p>
        </w:tc>
        <w:tc>
          <w:tcPr>
            <w:tcW w:w="1559" w:type="dxa"/>
          </w:tcPr>
          <w:p>
            <w:pPr>
              <w:pStyle w:val="8"/>
              <w:spacing w:before="60" w:line="180" w:lineRule="exact"/>
              <w:ind w:left="27"/>
              <w:rPr>
                <w:spacing w:val="2"/>
              </w:rPr>
            </w:pPr>
          </w:p>
        </w:tc>
        <w:tc>
          <w:tcPr>
            <w:tcW w:w="3402" w:type="dxa"/>
          </w:tcPr>
          <w:p>
            <w:pPr>
              <w:pStyle w:val="8"/>
              <w:spacing w:before="60" w:line="180" w:lineRule="exact"/>
              <w:ind w:left="15"/>
              <w:rPr>
                <w:spacing w:val="5"/>
              </w:rPr>
            </w:pPr>
          </w:p>
        </w:tc>
        <w:tc>
          <w:tcPr>
            <w:tcW w:w="2268" w:type="dxa"/>
          </w:tcPr>
          <w:p>
            <w:pPr>
              <w:pStyle w:val="8"/>
              <w:spacing w:before="43" w:line="180" w:lineRule="exact"/>
              <w:ind w:left="23" w:right="12"/>
              <w:rPr>
                <w:spacing w:val="1"/>
              </w:rPr>
            </w:pPr>
          </w:p>
        </w:tc>
        <w:tc>
          <w:tcPr>
            <w:tcW w:w="1276" w:type="dxa"/>
          </w:tcPr>
          <w:p>
            <w:pPr>
              <w:pStyle w:val="8"/>
              <w:spacing w:before="60" w:line="180" w:lineRule="exact"/>
              <w:ind w:left="23"/>
              <w:rPr>
                <w:spacing w:val="5"/>
              </w:rPr>
            </w:pPr>
          </w:p>
        </w:tc>
        <w:tc>
          <w:tcPr>
            <w:tcW w:w="851" w:type="dxa"/>
            <w:vAlign w:val="center"/>
          </w:tcPr>
          <w:p>
            <w:pPr>
              <w:pStyle w:val="8"/>
              <w:spacing w:before="60" w:line="180" w:lineRule="exact"/>
              <w:ind w:left="19"/>
              <w:jc w:val="center"/>
              <w:rPr>
                <w:lang w:eastAsia="zh-CN"/>
              </w:rPr>
            </w:pPr>
            <w:r>
              <w:rPr>
                <w:rFonts w:hint="eastAsia"/>
                <w:lang w:eastAsia="zh-CN"/>
              </w:rPr>
              <w:t>否</w:t>
            </w:r>
          </w:p>
        </w:tc>
        <w:tc>
          <w:tcPr>
            <w:tcW w:w="1417" w:type="dxa"/>
            <w:vAlign w:val="center"/>
          </w:tcPr>
          <w:p>
            <w:pPr>
              <w:pStyle w:val="8"/>
              <w:spacing w:before="60" w:line="180" w:lineRule="exact"/>
              <w:ind w:left="23"/>
              <w:jc w:val="center"/>
            </w:pPr>
            <w:r>
              <w:rPr>
                <w:rFonts w:hint="eastAsia"/>
                <w:lang w:eastAsia="zh-CN"/>
              </w:rPr>
              <w:t>是，福建省肿瘤医院</w:t>
            </w:r>
          </w:p>
        </w:tc>
        <w:tc>
          <w:tcPr>
            <w:tcW w:w="1755" w:type="dxa"/>
            <w:vAlign w:val="center"/>
          </w:tcPr>
          <w:p>
            <w:pPr>
              <w:pStyle w:val="8"/>
              <w:spacing w:before="60" w:line="180" w:lineRule="exact"/>
              <w:ind w:left="23"/>
              <w:jc w:val="center"/>
              <w:rPr>
                <w:sz w:val="15"/>
                <w:szCs w:val="15"/>
                <w:lang w:eastAsia="zh-CN"/>
              </w:rPr>
            </w:pPr>
            <w:r>
              <w:rPr>
                <w:rFonts w:hint="eastAsia"/>
                <w:sz w:val="15"/>
                <w:szCs w:val="15"/>
                <w:lang w:eastAsia="zh-CN"/>
              </w:rPr>
              <w:t>2500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363" w:type="dxa"/>
            <w:vMerge w:val="restart"/>
            <w:tcBorders>
              <w:bottom w:val="nil"/>
            </w:tcBorders>
          </w:tcPr>
          <w:p>
            <w:pPr>
              <w:spacing w:line="180" w:lineRule="exact"/>
            </w:pPr>
          </w:p>
          <w:p>
            <w:pPr>
              <w:spacing w:line="180" w:lineRule="exact"/>
            </w:pPr>
          </w:p>
          <w:p>
            <w:pPr>
              <w:spacing w:line="180" w:lineRule="exact"/>
            </w:pPr>
          </w:p>
          <w:p>
            <w:pPr>
              <w:spacing w:line="180" w:lineRule="exact"/>
            </w:pPr>
          </w:p>
          <w:p>
            <w:pPr>
              <w:spacing w:line="180" w:lineRule="exact"/>
            </w:pPr>
          </w:p>
          <w:p>
            <w:pPr>
              <w:spacing w:line="180" w:lineRule="exact"/>
            </w:pPr>
          </w:p>
          <w:p>
            <w:pPr>
              <w:pStyle w:val="8"/>
              <w:spacing w:before="60" w:line="180" w:lineRule="exact"/>
              <w:ind w:left="31"/>
            </w:pPr>
            <w:r>
              <w:t>3</w:t>
            </w:r>
          </w:p>
        </w:tc>
        <w:tc>
          <w:tcPr>
            <w:tcW w:w="613" w:type="dxa"/>
            <w:vMerge w:val="restart"/>
            <w:tcBorders>
              <w:bottom w:val="nil"/>
            </w:tcBorders>
          </w:tcPr>
          <w:p>
            <w:pPr>
              <w:spacing w:line="180" w:lineRule="exact"/>
            </w:pPr>
          </w:p>
          <w:p>
            <w:pPr>
              <w:spacing w:line="180" w:lineRule="exact"/>
            </w:pPr>
          </w:p>
          <w:p>
            <w:pPr>
              <w:spacing w:line="180" w:lineRule="exact"/>
            </w:pPr>
          </w:p>
          <w:p>
            <w:pPr>
              <w:spacing w:line="180" w:lineRule="exact"/>
            </w:pPr>
          </w:p>
          <w:p>
            <w:pPr>
              <w:spacing w:line="180" w:lineRule="exact"/>
            </w:pPr>
          </w:p>
          <w:p>
            <w:pPr>
              <w:spacing w:line="180" w:lineRule="exact"/>
            </w:pPr>
          </w:p>
          <w:p>
            <w:pPr>
              <w:pStyle w:val="8"/>
              <w:spacing w:before="60" w:line="180" w:lineRule="exact"/>
              <w:ind w:left="31"/>
            </w:pPr>
            <w:r>
              <w:rPr>
                <w:spacing w:val="-1"/>
              </w:rPr>
              <w:t>甲状腺癌</w:t>
            </w:r>
          </w:p>
        </w:tc>
        <w:tc>
          <w:tcPr>
            <w:tcW w:w="1424" w:type="dxa"/>
          </w:tcPr>
          <w:p>
            <w:pPr>
              <w:pStyle w:val="8"/>
              <w:spacing w:before="138" w:line="180" w:lineRule="exact"/>
              <w:ind w:left="29"/>
              <w:rPr>
                <w:sz w:val="15"/>
                <w:szCs w:val="15"/>
              </w:rPr>
            </w:pPr>
            <w:r>
              <w:rPr>
                <w:rFonts w:hint="eastAsia"/>
                <w:spacing w:val="-2"/>
                <w:sz w:val="15"/>
                <w:szCs w:val="15"/>
              </w:rPr>
              <w:t>BRAF</w:t>
            </w:r>
          </w:p>
        </w:tc>
        <w:tc>
          <w:tcPr>
            <w:tcW w:w="1559" w:type="dxa"/>
          </w:tcPr>
          <w:p>
            <w:pPr>
              <w:pStyle w:val="8"/>
              <w:spacing w:before="127" w:line="180" w:lineRule="exact"/>
              <w:ind w:left="27"/>
            </w:pPr>
            <w:r>
              <w:rPr>
                <w:spacing w:val="2"/>
              </w:rPr>
              <w:t>3.诊断和鉴别诊断</w:t>
            </w:r>
          </w:p>
        </w:tc>
        <w:tc>
          <w:tcPr>
            <w:tcW w:w="3402" w:type="dxa"/>
          </w:tcPr>
          <w:p>
            <w:pPr>
              <w:pStyle w:val="8"/>
              <w:spacing w:before="100" w:line="180" w:lineRule="exact"/>
              <w:ind w:left="15"/>
            </w:pPr>
            <w:r>
              <w:rPr>
                <w:spacing w:val="5"/>
              </w:rPr>
              <w:t>/</w:t>
            </w:r>
          </w:p>
        </w:tc>
        <w:tc>
          <w:tcPr>
            <w:tcW w:w="2268" w:type="dxa"/>
          </w:tcPr>
          <w:p>
            <w:pPr>
              <w:pStyle w:val="8"/>
              <w:spacing w:before="30" w:line="180" w:lineRule="exact"/>
              <w:ind w:left="27"/>
              <w:rPr>
                <w:lang w:eastAsia="zh-CN"/>
              </w:rPr>
            </w:pPr>
            <w:r>
              <w:rPr>
                <w:spacing w:val="3"/>
                <w:lang w:eastAsia="zh-CN"/>
              </w:rPr>
              <w:t>①良恶性甲状腺结节辅助诊断</w:t>
            </w:r>
          </w:p>
          <w:p>
            <w:pPr>
              <w:pStyle w:val="8"/>
              <w:spacing w:before="19" w:line="180" w:lineRule="exact"/>
              <w:ind w:left="27"/>
              <w:rPr>
                <w:lang w:eastAsia="zh-CN"/>
              </w:rPr>
            </w:pPr>
            <w:r>
              <w:rPr>
                <w:spacing w:val="3"/>
                <w:lang w:eastAsia="zh-CN"/>
              </w:rPr>
              <w:t>②未分化癌患者指导用药</w:t>
            </w:r>
          </w:p>
        </w:tc>
        <w:tc>
          <w:tcPr>
            <w:tcW w:w="1276" w:type="dxa"/>
          </w:tcPr>
          <w:p>
            <w:pPr>
              <w:pStyle w:val="8"/>
              <w:spacing w:before="100" w:line="180" w:lineRule="exact"/>
              <w:ind w:left="37"/>
            </w:pPr>
            <w:r>
              <w:t>NCCN指南甲状腺癌 （2024.V3）</w:t>
            </w:r>
          </w:p>
        </w:tc>
        <w:tc>
          <w:tcPr>
            <w:tcW w:w="851" w:type="dxa"/>
            <w:vAlign w:val="center"/>
          </w:tcPr>
          <w:p>
            <w:pPr>
              <w:pStyle w:val="8"/>
              <w:spacing w:before="60" w:line="180" w:lineRule="exact"/>
              <w:ind w:left="19"/>
              <w:jc w:val="center"/>
              <w:rPr>
                <w:lang w:eastAsia="zh-CN"/>
              </w:rPr>
            </w:pPr>
            <w:r>
              <w:rPr>
                <w:rFonts w:hint="eastAsia"/>
                <w:lang w:eastAsia="zh-CN"/>
              </w:rPr>
              <w:t>是</w:t>
            </w:r>
          </w:p>
        </w:tc>
        <w:tc>
          <w:tcPr>
            <w:tcW w:w="1417" w:type="dxa"/>
            <w:vAlign w:val="center"/>
          </w:tcPr>
          <w:p>
            <w:pPr>
              <w:pStyle w:val="8"/>
              <w:spacing w:before="60" w:line="180" w:lineRule="exact"/>
              <w:ind w:left="23"/>
              <w:jc w:val="center"/>
            </w:pPr>
          </w:p>
        </w:tc>
        <w:tc>
          <w:tcPr>
            <w:tcW w:w="1755" w:type="dxa"/>
            <w:vAlign w:val="center"/>
          </w:tcPr>
          <w:p>
            <w:pPr>
              <w:pStyle w:val="8"/>
              <w:spacing w:before="60" w:line="180" w:lineRule="exact"/>
              <w:ind w:left="23"/>
              <w:jc w:val="center"/>
              <w:rPr>
                <w:sz w:val="15"/>
                <w:szCs w:val="15"/>
                <w:lang w:eastAsia="zh-CN"/>
              </w:rPr>
            </w:pPr>
            <w:r>
              <w:rPr>
                <w:rFonts w:hint="eastAsia"/>
                <w:sz w:val="15"/>
                <w:szCs w:val="15"/>
                <w:lang w:eastAsia="zh-CN"/>
              </w:rPr>
              <w:t>1100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363" w:type="dxa"/>
            <w:vMerge w:val="continue"/>
            <w:tcBorders>
              <w:top w:val="nil"/>
              <w:bottom w:val="nil"/>
            </w:tcBorders>
          </w:tcPr>
          <w:p>
            <w:pPr>
              <w:spacing w:line="180" w:lineRule="exact"/>
            </w:pPr>
          </w:p>
        </w:tc>
        <w:tc>
          <w:tcPr>
            <w:tcW w:w="613" w:type="dxa"/>
            <w:vMerge w:val="continue"/>
            <w:tcBorders>
              <w:top w:val="nil"/>
              <w:bottom w:val="nil"/>
            </w:tcBorders>
          </w:tcPr>
          <w:p>
            <w:pPr>
              <w:spacing w:line="180" w:lineRule="exact"/>
            </w:pPr>
          </w:p>
        </w:tc>
        <w:tc>
          <w:tcPr>
            <w:tcW w:w="1424" w:type="dxa"/>
          </w:tcPr>
          <w:p>
            <w:pPr>
              <w:pStyle w:val="8"/>
              <w:spacing w:before="237" w:line="180" w:lineRule="exact"/>
              <w:ind w:left="29"/>
              <w:rPr>
                <w:sz w:val="15"/>
                <w:szCs w:val="15"/>
                <w:highlight w:val="none"/>
              </w:rPr>
            </w:pPr>
            <w:r>
              <w:rPr>
                <w:rFonts w:hint="eastAsia"/>
                <w:spacing w:val="-3"/>
                <w:sz w:val="15"/>
                <w:szCs w:val="15"/>
                <w:highlight w:val="none"/>
              </w:rPr>
              <w:t>RET</w:t>
            </w:r>
          </w:p>
        </w:tc>
        <w:tc>
          <w:tcPr>
            <w:tcW w:w="1559" w:type="dxa"/>
          </w:tcPr>
          <w:p>
            <w:pPr>
              <w:pStyle w:val="8"/>
              <w:spacing w:before="225" w:line="180" w:lineRule="exact"/>
              <w:ind w:left="27"/>
              <w:rPr>
                <w:highlight w:val="none"/>
              </w:rPr>
            </w:pPr>
            <w:r>
              <w:rPr>
                <w:spacing w:val="2"/>
                <w:highlight w:val="none"/>
              </w:rPr>
              <w:t>3.诊断和鉴别诊断</w:t>
            </w:r>
          </w:p>
        </w:tc>
        <w:tc>
          <w:tcPr>
            <w:tcW w:w="3402" w:type="dxa"/>
          </w:tcPr>
          <w:p>
            <w:pPr>
              <w:pStyle w:val="8"/>
              <w:spacing w:before="199" w:line="180" w:lineRule="exact"/>
              <w:ind w:left="15"/>
              <w:rPr>
                <w:highlight w:val="none"/>
              </w:rPr>
            </w:pPr>
            <w:r>
              <w:rPr>
                <w:spacing w:val="5"/>
                <w:highlight w:val="none"/>
              </w:rPr>
              <w:t>/</w:t>
            </w:r>
          </w:p>
        </w:tc>
        <w:tc>
          <w:tcPr>
            <w:tcW w:w="2268" w:type="dxa"/>
          </w:tcPr>
          <w:p>
            <w:pPr>
              <w:pStyle w:val="8"/>
              <w:spacing w:before="30" w:line="180" w:lineRule="exact"/>
              <w:ind w:left="23" w:right="141" w:firstLine="3"/>
              <w:rPr>
                <w:highlight w:val="none"/>
                <w:lang w:eastAsia="zh-CN"/>
              </w:rPr>
            </w:pPr>
            <w:r>
              <w:rPr>
                <w:spacing w:val="4"/>
                <w:highlight w:val="none"/>
                <w:lang w:eastAsia="zh-CN"/>
              </w:rPr>
              <w:t>①指导治疗具有</w:t>
            </w:r>
            <w:r>
              <w:rPr>
                <w:highlight w:val="none"/>
                <w:lang w:eastAsia="zh-CN"/>
              </w:rPr>
              <w:t>RET</w:t>
            </w:r>
            <w:r>
              <w:rPr>
                <w:spacing w:val="4"/>
                <w:highlight w:val="none"/>
                <w:lang w:eastAsia="zh-CN"/>
              </w:rPr>
              <w:t>融合基因的碘难治</w:t>
            </w:r>
            <w:r>
              <w:rPr>
                <w:highlight w:val="none"/>
                <w:lang w:eastAsia="zh-CN"/>
              </w:rPr>
              <w:t xml:space="preserve"> </w:t>
            </w:r>
            <w:r>
              <w:rPr>
                <w:spacing w:val="3"/>
                <w:highlight w:val="none"/>
                <w:lang w:eastAsia="zh-CN"/>
              </w:rPr>
              <w:t>性甲状腺癌</w:t>
            </w:r>
          </w:p>
          <w:p>
            <w:pPr>
              <w:pStyle w:val="8"/>
              <w:spacing w:before="21" w:line="180" w:lineRule="exact"/>
              <w:ind w:left="27"/>
              <w:rPr>
                <w:highlight w:val="none"/>
                <w:lang w:eastAsia="zh-CN"/>
              </w:rPr>
            </w:pPr>
            <w:r>
              <w:rPr>
                <w:spacing w:val="3"/>
                <w:position w:val="-1"/>
                <w:highlight w:val="none"/>
                <w:lang w:eastAsia="zh-CN"/>
              </w:rPr>
              <w:t>②甲状腺髓样癌诊断与鉴别</w:t>
            </w:r>
          </w:p>
        </w:tc>
        <w:tc>
          <w:tcPr>
            <w:tcW w:w="1276" w:type="dxa"/>
          </w:tcPr>
          <w:p>
            <w:pPr>
              <w:pStyle w:val="8"/>
              <w:spacing w:before="199" w:line="180" w:lineRule="exact"/>
              <w:ind w:left="37"/>
              <w:rPr>
                <w:highlight w:val="none"/>
              </w:rPr>
            </w:pPr>
            <w:r>
              <w:rPr>
                <w:highlight w:val="none"/>
              </w:rPr>
              <w:t>NCCN指南甲状腺癌 （2024.V3）</w:t>
            </w:r>
          </w:p>
        </w:tc>
        <w:tc>
          <w:tcPr>
            <w:tcW w:w="851" w:type="dxa"/>
            <w:vAlign w:val="center"/>
          </w:tcPr>
          <w:p>
            <w:pPr>
              <w:pStyle w:val="8"/>
              <w:spacing w:before="60" w:line="180" w:lineRule="exact"/>
              <w:ind w:left="19"/>
              <w:jc w:val="center"/>
              <w:rPr>
                <w:highlight w:val="none"/>
              </w:rPr>
            </w:pPr>
            <w:r>
              <w:rPr>
                <w:rFonts w:hint="eastAsia"/>
                <w:highlight w:val="none"/>
                <w:lang w:eastAsia="zh-CN"/>
              </w:rPr>
              <w:t>否</w:t>
            </w:r>
          </w:p>
        </w:tc>
        <w:tc>
          <w:tcPr>
            <w:tcW w:w="1417" w:type="dxa"/>
            <w:vAlign w:val="center"/>
          </w:tcPr>
          <w:p>
            <w:pPr>
              <w:pStyle w:val="8"/>
              <w:spacing w:before="60" w:line="180" w:lineRule="exact"/>
              <w:ind w:left="23"/>
              <w:jc w:val="center"/>
              <w:rPr>
                <w:highlight w:val="none"/>
              </w:rPr>
            </w:pPr>
            <w:r>
              <w:rPr>
                <w:rFonts w:hint="eastAsia"/>
                <w:highlight w:val="none"/>
                <w:lang w:eastAsia="zh-CN"/>
              </w:rPr>
              <w:t>是，福建省肿瘤医院</w:t>
            </w:r>
          </w:p>
        </w:tc>
        <w:tc>
          <w:tcPr>
            <w:tcW w:w="1755" w:type="dxa"/>
            <w:vAlign w:val="center"/>
          </w:tcPr>
          <w:p>
            <w:pPr>
              <w:spacing w:before="60" w:line="180" w:lineRule="exact"/>
              <w:ind w:left="23"/>
              <w:jc w:val="center"/>
              <w:rPr>
                <w:rFonts w:hint="default" w:ascii="微软雅黑" w:hAnsi="微软雅黑" w:eastAsia="微软雅黑" w:cs="微软雅黑"/>
                <w:sz w:val="15"/>
                <w:szCs w:val="15"/>
                <w:highlight w:val="none"/>
                <w:lang w:val="en-US" w:eastAsia="zh-CN"/>
              </w:rPr>
            </w:pPr>
            <w:r>
              <w:rPr>
                <w:rFonts w:hint="eastAsia" w:ascii="微软雅黑" w:hAnsi="微软雅黑" w:eastAsia="微软雅黑" w:cs="微软雅黑"/>
                <w:sz w:val="15"/>
                <w:szCs w:val="15"/>
                <w:highlight w:val="none"/>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trPr>
        <w:tc>
          <w:tcPr>
            <w:tcW w:w="363" w:type="dxa"/>
            <w:vMerge w:val="continue"/>
            <w:tcBorders>
              <w:top w:val="nil"/>
              <w:bottom w:val="nil"/>
            </w:tcBorders>
          </w:tcPr>
          <w:p>
            <w:pPr>
              <w:spacing w:line="180" w:lineRule="exact"/>
            </w:pPr>
          </w:p>
        </w:tc>
        <w:tc>
          <w:tcPr>
            <w:tcW w:w="613" w:type="dxa"/>
            <w:vMerge w:val="continue"/>
            <w:tcBorders>
              <w:top w:val="nil"/>
              <w:bottom w:val="nil"/>
            </w:tcBorders>
          </w:tcPr>
          <w:p>
            <w:pPr>
              <w:spacing w:line="180" w:lineRule="exact"/>
            </w:pPr>
          </w:p>
        </w:tc>
        <w:tc>
          <w:tcPr>
            <w:tcW w:w="1424" w:type="dxa"/>
          </w:tcPr>
          <w:p>
            <w:pPr>
              <w:pStyle w:val="8"/>
              <w:spacing w:before="238" w:line="180" w:lineRule="exact"/>
              <w:ind w:left="17"/>
              <w:rPr>
                <w:sz w:val="15"/>
                <w:szCs w:val="15"/>
                <w:highlight w:val="none"/>
              </w:rPr>
            </w:pPr>
            <w:r>
              <w:rPr>
                <w:rFonts w:hint="eastAsia"/>
                <w:spacing w:val="1"/>
                <w:sz w:val="15"/>
                <w:szCs w:val="15"/>
                <w:highlight w:val="none"/>
              </w:rPr>
              <w:t>ALK</w:t>
            </w:r>
          </w:p>
        </w:tc>
        <w:tc>
          <w:tcPr>
            <w:tcW w:w="1559" w:type="dxa"/>
          </w:tcPr>
          <w:p>
            <w:pPr>
              <w:pStyle w:val="8"/>
              <w:spacing w:before="226" w:line="180" w:lineRule="exact"/>
              <w:ind w:left="32"/>
              <w:rPr>
                <w:highlight w:val="none"/>
              </w:rPr>
            </w:pPr>
            <w:r>
              <w:rPr>
                <w:spacing w:val="1"/>
                <w:highlight w:val="none"/>
              </w:rPr>
              <w:t>1.指导靶向治疗</w:t>
            </w:r>
          </w:p>
        </w:tc>
        <w:tc>
          <w:tcPr>
            <w:tcW w:w="3402" w:type="dxa"/>
          </w:tcPr>
          <w:p>
            <w:pPr>
              <w:pStyle w:val="8"/>
              <w:spacing w:before="226" w:line="180" w:lineRule="exact"/>
              <w:ind w:left="27"/>
              <w:rPr>
                <w:highlight w:val="none"/>
              </w:rPr>
            </w:pPr>
            <w:r>
              <w:rPr>
                <w:spacing w:val="1"/>
                <w:highlight w:val="none"/>
              </w:rPr>
              <w:t>阿来替尼</w:t>
            </w:r>
          </w:p>
        </w:tc>
        <w:tc>
          <w:tcPr>
            <w:tcW w:w="2268" w:type="dxa"/>
          </w:tcPr>
          <w:p>
            <w:pPr>
              <w:pStyle w:val="8"/>
              <w:spacing w:before="32" w:line="180" w:lineRule="exact"/>
              <w:ind w:left="27"/>
              <w:rPr>
                <w:highlight w:val="none"/>
                <w:lang w:eastAsia="zh-CN"/>
              </w:rPr>
            </w:pPr>
            <w:r>
              <w:rPr>
                <w:spacing w:val="3"/>
                <w:highlight w:val="none"/>
                <w:lang w:eastAsia="zh-CN"/>
              </w:rPr>
              <w:t>①甲状腺癌诊断和侵袭性评估</w:t>
            </w:r>
          </w:p>
          <w:p>
            <w:pPr>
              <w:pStyle w:val="8"/>
              <w:spacing w:before="1" w:line="180" w:lineRule="exact"/>
              <w:ind w:left="23" w:right="48" w:firstLine="3"/>
              <w:rPr>
                <w:highlight w:val="none"/>
                <w:lang w:eastAsia="zh-CN"/>
              </w:rPr>
            </w:pPr>
            <w:r>
              <w:rPr>
                <w:spacing w:val="3"/>
                <w:highlight w:val="none"/>
                <w:lang w:eastAsia="zh-CN"/>
              </w:rPr>
              <w:t>②晚期或局部晚期甲状腺癌/碘难治性甲</w:t>
            </w:r>
            <w:r>
              <w:rPr>
                <w:spacing w:val="7"/>
                <w:highlight w:val="none"/>
                <w:lang w:eastAsia="zh-CN"/>
              </w:rPr>
              <w:t xml:space="preserve"> </w:t>
            </w:r>
            <w:r>
              <w:rPr>
                <w:spacing w:val="3"/>
                <w:highlight w:val="none"/>
                <w:lang w:eastAsia="zh-CN"/>
              </w:rPr>
              <w:t>状腺癌</w:t>
            </w:r>
          </w:p>
        </w:tc>
        <w:tc>
          <w:tcPr>
            <w:tcW w:w="1276" w:type="dxa"/>
          </w:tcPr>
          <w:p>
            <w:pPr>
              <w:pStyle w:val="8"/>
              <w:spacing w:before="199" w:line="180" w:lineRule="exact"/>
              <w:ind w:left="37"/>
              <w:rPr>
                <w:highlight w:val="none"/>
              </w:rPr>
            </w:pPr>
            <w:r>
              <w:rPr>
                <w:highlight w:val="none"/>
              </w:rPr>
              <w:t>NCCN指南甲状腺癌 （2024.V3）</w:t>
            </w:r>
          </w:p>
        </w:tc>
        <w:tc>
          <w:tcPr>
            <w:tcW w:w="851" w:type="dxa"/>
            <w:vAlign w:val="center"/>
          </w:tcPr>
          <w:p>
            <w:pPr>
              <w:pStyle w:val="8"/>
              <w:spacing w:before="60" w:line="180" w:lineRule="exact"/>
              <w:ind w:left="19"/>
              <w:jc w:val="center"/>
              <w:rPr>
                <w:highlight w:val="none"/>
              </w:rPr>
            </w:pPr>
            <w:r>
              <w:rPr>
                <w:rFonts w:hint="eastAsia"/>
                <w:highlight w:val="none"/>
                <w:lang w:eastAsia="zh-CN"/>
              </w:rPr>
              <w:t>否</w:t>
            </w:r>
          </w:p>
        </w:tc>
        <w:tc>
          <w:tcPr>
            <w:tcW w:w="1417" w:type="dxa"/>
            <w:vAlign w:val="center"/>
          </w:tcPr>
          <w:p>
            <w:pPr>
              <w:pStyle w:val="8"/>
              <w:spacing w:before="60" w:line="180" w:lineRule="exact"/>
              <w:ind w:left="23"/>
              <w:jc w:val="center"/>
              <w:rPr>
                <w:highlight w:val="none"/>
              </w:rPr>
            </w:pPr>
            <w:r>
              <w:rPr>
                <w:rFonts w:hint="eastAsia"/>
                <w:highlight w:val="none"/>
                <w:lang w:eastAsia="zh-CN"/>
              </w:rPr>
              <w:t>是，福建省肿瘤医院</w:t>
            </w:r>
          </w:p>
        </w:tc>
        <w:tc>
          <w:tcPr>
            <w:tcW w:w="1755" w:type="dxa"/>
            <w:vAlign w:val="center"/>
          </w:tcPr>
          <w:p>
            <w:pPr>
              <w:spacing w:before="60" w:line="180" w:lineRule="exact"/>
              <w:ind w:left="23"/>
              <w:jc w:val="center"/>
              <w:rPr>
                <w:rFonts w:hint="default" w:ascii="微软雅黑" w:hAnsi="微软雅黑" w:eastAsia="微软雅黑" w:cs="微软雅黑"/>
                <w:sz w:val="15"/>
                <w:szCs w:val="15"/>
                <w:highlight w:val="none"/>
                <w:lang w:val="en-US" w:eastAsia="zh-CN"/>
              </w:rPr>
            </w:pPr>
            <w:r>
              <w:rPr>
                <w:rFonts w:hint="eastAsia" w:ascii="微软雅黑" w:hAnsi="微软雅黑" w:eastAsia="微软雅黑" w:cs="微软雅黑"/>
                <w:sz w:val="15"/>
                <w:szCs w:val="15"/>
                <w:highlight w:val="none"/>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6" w:hRule="atLeast"/>
        </w:trPr>
        <w:tc>
          <w:tcPr>
            <w:tcW w:w="363" w:type="dxa"/>
            <w:vMerge w:val="continue"/>
            <w:tcBorders>
              <w:top w:val="nil"/>
              <w:bottom w:val="nil"/>
            </w:tcBorders>
          </w:tcPr>
          <w:p>
            <w:pPr>
              <w:spacing w:line="180" w:lineRule="exact"/>
            </w:pPr>
          </w:p>
        </w:tc>
        <w:tc>
          <w:tcPr>
            <w:tcW w:w="613" w:type="dxa"/>
            <w:vMerge w:val="continue"/>
            <w:tcBorders>
              <w:top w:val="nil"/>
              <w:bottom w:val="nil"/>
            </w:tcBorders>
          </w:tcPr>
          <w:p>
            <w:pPr>
              <w:spacing w:line="180" w:lineRule="exact"/>
            </w:pPr>
          </w:p>
        </w:tc>
        <w:tc>
          <w:tcPr>
            <w:tcW w:w="1424" w:type="dxa"/>
          </w:tcPr>
          <w:p>
            <w:pPr>
              <w:pStyle w:val="8"/>
              <w:spacing w:before="238" w:line="180" w:lineRule="exact"/>
              <w:ind w:left="18"/>
              <w:rPr>
                <w:sz w:val="15"/>
                <w:szCs w:val="15"/>
              </w:rPr>
            </w:pPr>
            <w:r>
              <w:rPr>
                <w:rFonts w:hint="eastAsia"/>
                <w:spacing w:val="1"/>
                <w:sz w:val="15"/>
                <w:szCs w:val="15"/>
              </w:rPr>
              <w:t>TERT</w:t>
            </w:r>
          </w:p>
        </w:tc>
        <w:tc>
          <w:tcPr>
            <w:tcW w:w="1559" w:type="dxa"/>
          </w:tcPr>
          <w:p>
            <w:pPr>
              <w:pStyle w:val="8"/>
              <w:spacing w:before="226" w:line="180" w:lineRule="exact"/>
              <w:ind w:left="29"/>
            </w:pPr>
            <w:r>
              <w:rPr>
                <w:spacing w:val="1"/>
              </w:rPr>
              <w:t>5.预后评估</w:t>
            </w:r>
          </w:p>
        </w:tc>
        <w:tc>
          <w:tcPr>
            <w:tcW w:w="3402" w:type="dxa"/>
          </w:tcPr>
          <w:p>
            <w:pPr>
              <w:pStyle w:val="8"/>
              <w:spacing w:before="200" w:line="180" w:lineRule="exact"/>
              <w:ind w:left="15"/>
            </w:pPr>
            <w:r>
              <w:rPr>
                <w:spacing w:val="5"/>
              </w:rPr>
              <w:t>/</w:t>
            </w:r>
          </w:p>
        </w:tc>
        <w:tc>
          <w:tcPr>
            <w:tcW w:w="2268" w:type="dxa"/>
          </w:tcPr>
          <w:p>
            <w:pPr>
              <w:pStyle w:val="8"/>
              <w:spacing w:before="32" w:line="180" w:lineRule="exact"/>
              <w:ind w:left="27"/>
              <w:rPr>
                <w:lang w:eastAsia="zh-CN"/>
              </w:rPr>
            </w:pPr>
            <w:r>
              <w:rPr>
                <w:spacing w:val="3"/>
                <w:lang w:eastAsia="zh-CN"/>
              </w:rPr>
              <w:t>①甲状腺癌诊断和侵袭性评估</w:t>
            </w:r>
          </w:p>
          <w:p>
            <w:pPr>
              <w:pStyle w:val="8"/>
              <w:spacing w:line="180" w:lineRule="exact"/>
              <w:ind w:left="23" w:right="48" w:firstLine="3"/>
              <w:rPr>
                <w:lang w:eastAsia="zh-CN"/>
              </w:rPr>
            </w:pPr>
            <w:r>
              <w:rPr>
                <w:spacing w:val="3"/>
                <w:lang w:eastAsia="zh-CN"/>
              </w:rPr>
              <w:t>②晚期或局部晚期甲状腺癌/碘难治性甲</w:t>
            </w:r>
            <w:r>
              <w:rPr>
                <w:spacing w:val="7"/>
                <w:lang w:eastAsia="zh-CN"/>
              </w:rPr>
              <w:t xml:space="preserve"> </w:t>
            </w:r>
            <w:r>
              <w:rPr>
                <w:spacing w:val="3"/>
                <w:lang w:eastAsia="zh-CN"/>
              </w:rPr>
              <w:t>状腺癌</w:t>
            </w:r>
          </w:p>
        </w:tc>
        <w:tc>
          <w:tcPr>
            <w:tcW w:w="1276" w:type="dxa"/>
          </w:tcPr>
          <w:p>
            <w:pPr>
              <w:pStyle w:val="8"/>
              <w:spacing w:before="199" w:line="180" w:lineRule="exact"/>
              <w:ind w:left="37"/>
            </w:pPr>
            <w:r>
              <w:t>NCCN指南甲状腺癌 （2024.V3）</w:t>
            </w:r>
          </w:p>
        </w:tc>
        <w:tc>
          <w:tcPr>
            <w:tcW w:w="851" w:type="dxa"/>
            <w:vAlign w:val="center"/>
          </w:tcPr>
          <w:p>
            <w:pPr>
              <w:pStyle w:val="8"/>
              <w:spacing w:before="60" w:line="180" w:lineRule="exact"/>
              <w:ind w:left="19"/>
              <w:jc w:val="center"/>
            </w:pPr>
            <w:r>
              <w:rPr>
                <w:rFonts w:hint="eastAsia"/>
                <w:lang w:eastAsia="zh-CN"/>
              </w:rPr>
              <w:t>否</w:t>
            </w:r>
          </w:p>
        </w:tc>
        <w:tc>
          <w:tcPr>
            <w:tcW w:w="1417" w:type="dxa"/>
            <w:vAlign w:val="center"/>
          </w:tcPr>
          <w:p>
            <w:pPr>
              <w:pStyle w:val="8"/>
              <w:spacing w:before="60" w:line="180" w:lineRule="exact"/>
              <w:ind w:left="23"/>
              <w:jc w:val="center"/>
            </w:pPr>
            <w:r>
              <w:rPr>
                <w:rFonts w:hint="eastAsia"/>
                <w:lang w:eastAsia="zh-CN"/>
              </w:rPr>
              <w:t>是，福建省肿瘤医院</w:t>
            </w:r>
          </w:p>
        </w:tc>
        <w:tc>
          <w:tcPr>
            <w:tcW w:w="1755" w:type="dxa"/>
            <w:vAlign w:val="center"/>
          </w:tcPr>
          <w:p>
            <w:pPr>
              <w:spacing w:before="60" w:line="180" w:lineRule="exact"/>
              <w:ind w:left="23"/>
              <w:jc w:val="center"/>
              <w:rPr>
                <w:rFonts w:hint="default" w:ascii="微软雅黑" w:hAnsi="微软雅黑" w:eastAsia="微软雅黑" w:cs="微软雅黑"/>
                <w:sz w:val="15"/>
                <w:szCs w:val="15"/>
                <w:lang w:val="en-US" w:eastAsia="zh-CN"/>
              </w:rPr>
            </w:pPr>
            <w:r>
              <w:rPr>
                <w:rFonts w:hint="eastAsia" w:ascii="微软雅黑" w:hAnsi="微软雅黑" w:eastAsia="微软雅黑" w:cs="微软雅黑"/>
                <w:sz w:val="15"/>
                <w:szCs w:val="15"/>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63" w:type="dxa"/>
            <w:vMerge w:val="continue"/>
            <w:tcBorders>
              <w:top w:val="nil"/>
              <w:bottom w:val="nil"/>
            </w:tcBorders>
          </w:tcPr>
          <w:p>
            <w:pPr>
              <w:spacing w:line="180" w:lineRule="exact"/>
            </w:pPr>
          </w:p>
        </w:tc>
        <w:tc>
          <w:tcPr>
            <w:tcW w:w="613" w:type="dxa"/>
            <w:vMerge w:val="continue"/>
            <w:tcBorders>
              <w:top w:val="nil"/>
              <w:bottom w:val="nil"/>
            </w:tcBorders>
          </w:tcPr>
          <w:p>
            <w:pPr>
              <w:spacing w:line="180" w:lineRule="exact"/>
            </w:pPr>
          </w:p>
        </w:tc>
        <w:tc>
          <w:tcPr>
            <w:tcW w:w="1424" w:type="dxa"/>
          </w:tcPr>
          <w:p>
            <w:pPr>
              <w:pStyle w:val="8"/>
              <w:spacing w:before="236" w:line="180" w:lineRule="exact"/>
              <w:ind w:left="18"/>
              <w:rPr>
                <w:sz w:val="15"/>
                <w:szCs w:val="15"/>
              </w:rPr>
            </w:pPr>
            <w:r>
              <w:rPr>
                <w:rFonts w:hint="eastAsia"/>
                <w:sz w:val="15"/>
                <w:szCs w:val="15"/>
              </w:rPr>
              <w:t>TP</w:t>
            </w:r>
            <w:r>
              <w:rPr>
                <w:rFonts w:hint="eastAsia"/>
                <w:spacing w:val="3"/>
                <w:sz w:val="15"/>
                <w:szCs w:val="15"/>
              </w:rPr>
              <w:t>53</w:t>
            </w:r>
          </w:p>
        </w:tc>
        <w:tc>
          <w:tcPr>
            <w:tcW w:w="1559" w:type="dxa"/>
          </w:tcPr>
          <w:p>
            <w:pPr>
              <w:pStyle w:val="8"/>
              <w:spacing w:before="226" w:line="180" w:lineRule="exact"/>
              <w:ind w:left="29"/>
            </w:pPr>
            <w:r>
              <w:rPr>
                <w:spacing w:val="1"/>
              </w:rPr>
              <w:t>5.预后评估</w:t>
            </w:r>
          </w:p>
        </w:tc>
        <w:tc>
          <w:tcPr>
            <w:tcW w:w="3402" w:type="dxa"/>
          </w:tcPr>
          <w:p>
            <w:pPr>
              <w:pStyle w:val="8"/>
              <w:spacing w:before="200" w:line="180" w:lineRule="exact"/>
              <w:ind w:left="15"/>
            </w:pPr>
            <w:r>
              <w:rPr>
                <w:spacing w:val="5"/>
              </w:rPr>
              <w:t>/</w:t>
            </w:r>
          </w:p>
        </w:tc>
        <w:tc>
          <w:tcPr>
            <w:tcW w:w="2268" w:type="dxa"/>
          </w:tcPr>
          <w:p>
            <w:pPr>
              <w:pStyle w:val="8"/>
              <w:spacing w:before="32" w:line="180" w:lineRule="exact"/>
              <w:ind w:left="27"/>
              <w:rPr>
                <w:lang w:eastAsia="zh-CN"/>
              </w:rPr>
            </w:pPr>
            <w:r>
              <w:rPr>
                <w:spacing w:val="3"/>
                <w:lang w:eastAsia="zh-CN"/>
              </w:rPr>
              <w:t>①甲状腺癌诊断和侵袭性评估</w:t>
            </w:r>
          </w:p>
          <w:p>
            <w:pPr>
              <w:pStyle w:val="8"/>
              <w:spacing w:before="1" w:line="180" w:lineRule="exact"/>
              <w:ind w:left="23" w:right="48" w:firstLine="3"/>
              <w:rPr>
                <w:lang w:eastAsia="zh-CN"/>
              </w:rPr>
            </w:pPr>
            <w:r>
              <w:rPr>
                <w:spacing w:val="3"/>
                <w:lang w:eastAsia="zh-CN"/>
              </w:rPr>
              <w:t>②晚期或局部晚期甲状腺癌/碘难治性甲</w:t>
            </w:r>
            <w:r>
              <w:rPr>
                <w:spacing w:val="7"/>
                <w:lang w:eastAsia="zh-CN"/>
              </w:rPr>
              <w:t xml:space="preserve"> </w:t>
            </w:r>
            <w:r>
              <w:rPr>
                <w:spacing w:val="3"/>
                <w:lang w:eastAsia="zh-CN"/>
              </w:rPr>
              <w:t>状腺癌</w:t>
            </w:r>
          </w:p>
        </w:tc>
        <w:tc>
          <w:tcPr>
            <w:tcW w:w="1276" w:type="dxa"/>
          </w:tcPr>
          <w:p>
            <w:pPr>
              <w:pStyle w:val="8"/>
              <w:spacing w:before="200" w:line="180" w:lineRule="exact"/>
              <w:ind w:left="37"/>
            </w:pPr>
            <w:r>
              <w:t>NCCN指南甲状腺癌 （2024.V3）</w:t>
            </w:r>
          </w:p>
        </w:tc>
        <w:tc>
          <w:tcPr>
            <w:tcW w:w="851" w:type="dxa"/>
            <w:vAlign w:val="center"/>
          </w:tcPr>
          <w:p>
            <w:pPr>
              <w:pStyle w:val="8"/>
              <w:spacing w:before="60" w:line="180" w:lineRule="exact"/>
              <w:ind w:left="19"/>
              <w:jc w:val="center"/>
            </w:pPr>
            <w:r>
              <w:rPr>
                <w:rFonts w:hint="eastAsia"/>
                <w:lang w:eastAsia="zh-CN"/>
              </w:rPr>
              <w:t>否</w:t>
            </w:r>
          </w:p>
        </w:tc>
        <w:tc>
          <w:tcPr>
            <w:tcW w:w="1417" w:type="dxa"/>
            <w:vAlign w:val="center"/>
          </w:tcPr>
          <w:p>
            <w:pPr>
              <w:pStyle w:val="8"/>
              <w:spacing w:before="60" w:line="180" w:lineRule="exact"/>
              <w:ind w:left="23"/>
              <w:jc w:val="center"/>
            </w:pPr>
            <w:r>
              <w:rPr>
                <w:rFonts w:hint="eastAsia"/>
                <w:lang w:eastAsia="zh-CN"/>
              </w:rPr>
              <w:t>是，福建省肿瘤医院</w:t>
            </w:r>
          </w:p>
        </w:tc>
        <w:tc>
          <w:tcPr>
            <w:tcW w:w="1755" w:type="dxa"/>
            <w:vAlign w:val="center"/>
          </w:tcPr>
          <w:p>
            <w:pPr>
              <w:pStyle w:val="8"/>
              <w:spacing w:before="60" w:line="180" w:lineRule="exact"/>
              <w:ind w:left="23"/>
              <w:jc w:val="center"/>
              <w:rPr>
                <w:rFonts w:hint="default"/>
                <w:sz w:val="15"/>
                <w:szCs w:val="15"/>
                <w:lang w:val="en-US" w:eastAsia="zh-CN"/>
              </w:rPr>
            </w:pPr>
            <w:r>
              <w:rPr>
                <w:rFonts w:hint="eastAsia"/>
                <w:sz w:val="15"/>
                <w:szCs w:val="15"/>
                <w:lang w:val="en-US" w:eastAsia="zh-CN"/>
              </w:rPr>
              <w:t>550</w:t>
            </w:r>
          </w:p>
        </w:tc>
      </w:tr>
    </w:tbl>
    <w:tbl>
      <w:tblPr>
        <w:tblStyle w:val="7"/>
        <w:tblpPr w:leftFromText="180" w:rightFromText="180" w:vertAnchor="text" w:horzAnchor="page" w:tblpX="412" w:tblpY="24"/>
        <w:tblOverlap w:val="never"/>
        <w:tblW w:w="469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4"/>
        <w:gridCol w:w="565"/>
        <w:gridCol w:w="1508"/>
        <w:gridCol w:w="1280"/>
        <w:gridCol w:w="2419"/>
        <w:gridCol w:w="3135"/>
        <w:gridCol w:w="1567"/>
        <w:gridCol w:w="908"/>
        <w:gridCol w:w="1644"/>
        <w:gridCol w:w="15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7" w:hRule="atLeast"/>
        </w:trPr>
        <w:tc>
          <w:tcPr>
            <w:tcW w:w="115" w:type="pct"/>
            <w:vAlign w:val="center"/>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序号</w:t>
            </w:r>
          </w:p>
        </w:tc>
        <w:tc>
          <w:tcPr>
            <w:tcW w:w="189" w:type="pct"/>
            <w:vAlign w:val="center"/>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病种名称</w:t>
            </w:r>
          </w:p>
        </w:tc>
        <w:tc>
          <w:tcPr>
            <w:tcW w:w="504" w:type="pct"/>
            <w:vAlign w:val="center"/>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对应检测基因</w:t>
            </w:r>
          </w:p>
        </w:tc>
        <w:tc>
          <w:tcPr>
            <w:tcW w:w="428" w:type="pct"/>
            <w:vAlign w:val="center"/>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检测意义</w:t>
            </w:r>
          </w:p>
        </w:tc>
        <w:tc>
          <w:tcPr>
            <w:tcW w:w="809" w:type="pct"/>
            <w:vAlign w:val="center"/>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指南推荐药物</w:t>
            </w:r>
          </w:p>
        </w:tc>
        <w:tc>
          <w:tcPr>
            <w:tcW w:w="1048" w:type="pct"/>
            <w:vAlign w:val="center"/>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基因检测适应症</w:t>
            </w:r>
          </w:p>
        </w:tc>
        <w:tc>
          <w:tcPr>
            <w:tcW w:w="524" w:type="pct"/>
            <w:vAlign w:val="center"/>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诊疗规范或指南依据</w:t>
            </w:r>
          </w:p>
        </w:tc>
        <w:tc>
          <w:tcPr>
            <w:tcW w:w="303" w:type="pct"/>
            <w:vAlign w:val="center"/>
          </w:tcPr>
          <w:p>
            <w:pPr>
              <w:spacing w:before="155" w:line="180" w:lineRule="exact"/>
              <w:jc w:val="both"/>
              <w:rPr>
                <w:rFonts w:ascii="黑体" w:hAnsi="黑体" w:eastAsia="黑体" w:cs="黑体"/>
                <w:b/>
                <w:bCs/>
                <w:spacing w:val="1"/>
                <w:sz w:val="14"/>
                <w:szCs w:val="14"/>
              </w:rPr>
            </w:pPr>
            <w:r>
              <w:rPr>
                <w:rFonts w:hint="eastAsia" w:ascii="黑体" w:hAnsi="黑体" w:eastAsia="黑体" w:cs="黑体"/>
                <w:b/>
                <w:bCs/>
                <w:spacing w:val="1"/>
                <w:sz w:val="14"/>
                <w:szCs w:val="14"/>
                <w:lang w:eastAsia="zh-CN"/>
              </w:rPr>
              <w:t>是否本机构开展</w:t>
            </w:r>
          </w:p>
        </w:tc>
        <w:tc>
          <w:tcPr>
            <w:tcW w:w="549" w:type="pct"/>
            <w:vAlign w:val="center"/>
          </w:tcPr>
          <w:p>
            <w:pPr>
              <w:spacing w:before="155" w:line="180" w:lineRule="exact"/>
              <w:ind w:left="192"/>
              <w:jc w:val="center"/>
              <w:rPr>
                <w:rFonts w:ascii="黑体" w:hAnsi="黑体" w:eastAsia="黑体" w:cs="黑体"/>
                <w:b/>
                <w:bCs/>
                <w:spacing w:val="1"/>
                <w:sz w:val="14"/>
                <w:szCs w:val="14"/>
                <w:lang w:eastAsia="zh-CN"/>
              </w:rPr>
            </w:pPr>
            <w:r>
              <w:rPr>
                <w:rFonts w:hint="eastAsia" w:ascii="黑体" w:hAnsi="黑体" w:eastAsia="黑体" w:cs="黑体"/>
                <w:b/>
                <w:bCs/>
                <w:spacing w:val="1"/>
                <w:sz w:val="14"/>
                <w:szCs w:val="14"/>
                <w:lang w:eastAsia="zh-CN"/>
              </w:rPr>
              <w:t>是否外送，外送机构</w:t>
            </w:r>
          </w:p>
        </w:tc>
        <w:tc>
          <w:tcPr>
            <w:tcW w:w="527" w:type="pct"/>
            <w:vAlign w:val="center"/>
          </w:tcPr>
          <w:p>
            <w:pPr>
              <w:spacing w:before="155" w:line="180" w:lineRule="exact"/>
              <w:ind w:left="192"/>
              <w:jc w:val="center"/>
              <w:rPr>
                <w:rFonts w:ascii="黑体" w:hAnsi="黑体" w:eastAsia="黑体" w:cs="黑体"/>
                <w:b/>
                <w:bCs/>
                <w:spacing w:val="1"/>
                <w:sz w:val="14"/>
                <w:szCs w:val="14"/>
                <w:lang w:eastAsia="zh-CN"/>
              </w:rPr>
            </w:pPr>
            <w:r>
              <w:rPr>
                <w:rFonts w:hint="eastAsia" w:ascii="黑体" w:hAnsi="黑体" w:eastAsia="黑体" w:cs="黑体"/>
                <w:b/>
                <w:bCs/>
                <w:spacing w:val="1"/>
                <w:sz w:val="14"/>
                <w:szCs w:val="14"/>
                <w:lang w:eastAsia="zh-CN"/>
              </w:rPr>
              <w:t>价格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6" w:hRule="atLeast"/>
        </w:trPr>
        <w:tc>
          <w:tcPr>
            <w:tcW w:w="115" w:type="pct"/>
            <w:vMerge w:val="restart"/>
            <w:tcBorders>
              <w:bottom w:val="nil"/>
            </w:tcBorders>
          </w:tcPr>
          <w:p>
            <w:pPr>
              <w:spacing w:line="160" w:lineRule="exact"/>
            </w:pPr>
          </w:p>
          <w:p>
            <w:pPr>
              <w:spacing w:line="160" w:lineRule="exact"/>
            </w:pPr>
          </w:p>
          <w:p>
            <w:pPr>
              <w:spacing w:line="160" w:lineRule="exact"/>
            </w:pPr>
          </w:p>
          <w:p>
            <w:pPr>
              <w:spacing w:line="160" w:lineRule="exact"/>
            </w:pPr>
          </w:p>
          <w:p>
            <w:pPr>
              <w:spacing w:line="160" w:lineRule="exact"/>
            </w:pPr>
          </w:p>
          <w:p>
            <w:pPr>
              <w:pStyle w:val="8"/>
              <w:spacing w:before="60" w:line="160" w:lineRule="exact"/>
              <w:ind w:left="22"/>
            </w:pPr>
            <w:r>
              <w:rPr>
                <w:spacing w:val="1"/>
              </w:rPr>
              <w:t>4</w:t>
            </w:r>
          </w:p>
        </w:tc>
        <w:tc>
          <w:tcPr>
            <w:tcW w:w="189" w:type="pct"/>
            <w:vMerge w:val="restart"/>
            <w:tcBorders>
              <w:bottom w:val="nil"/>
            </w:tcBorders>
          </w:tcPr>
          <w:p>
            <w:pPr>
              <w:spacing w:line="160" w:lineRule="exact"/>
              <w:rPr>
                <w:lang w:eastAsia="zh-CN"/>
              </w:rPr>
            </w:pPr>
          </w:p>
          <w:p>
            <w:pPr>
              <w:spacing w:line="160" w:lineRule="exact"/>
              <w:rPr>
                <w:lang w:eastAsia="zh-CN"/>
              </w:rPr>
            </w:pPr>
          </w:p>
          <w:p>
            <w:pPr>
              <w:spacing w:line="160" w:lineRule="exact"/>
              <w:rPr>
                <w:lang w:eastAsia="zh-CN"/>
              </w:rPr>
            </w:pPr>
          </w:p>
          <w:p>
            <w:pPr>
              <w:spacing w:line="160" w:lineRule="exact"/>
              <w:rPr>
                <w:lang w:eastAsia="zh-CN"/>
              </w:rPr>
            </w:pPr>
          </w:p>
          <w:p>
            <w:pPr>
              <w:pStyle w:val="8"/>
              <w:spacing w:before="60" w:line="160" w:lineRule="exact"/>
              <w:ind w:left="17" w:right="77" w:firstLine="7"/>
              <w:jc w:val="both"/>
              <w:rPr>
                <w:lang w:eastAsia="zh-CN"/>
              </w:rPr>
            </w:pPr>
            <w:r>
              <w:rPr>
                <w:spacing w:val="-2"/>
                <w:lang w:eastAsia="zh-CN"/>
              </w:rPr>
              <w:t>唾液腺癌 （腮腺/颌</w:t>
            </w:r>
            <w:r>
              <w:rPr>
                <w:lang w:eastAsia="zh-CN"/>
              </w:rPr>
              <w:t xml:space="preserve">  </w:t>
            </w:r>
            <w:r>
              <w:rPr>
                <w:spacing w:val="3"/>
                <w:lang w:eastAsia="zh-CN"/>
              </w:rPr>
              <w:t>下腺/舌下腺/小唾液</w:t>
            </w:r>
            <w:r>
              <w:rPr>
                <w:spacing w:val="1"/>
                <w:lang w:eastAsia="zh-CN"/>
              </w:rPr>
              <w:t xml:space="preserve"> </w:t>
            </w:r>
            <w:r>
              <w:rPr>
                <w:lang w:eastAsia="zh-CN"/>
              </w:rPr>
              <w:t>腺）</w:t>
            </w:r>
          </w:p>
        </w:tc>
        <w:tc>
          <w:tcPr>
            <w:tcW w:w="504" w:type="pct"/>
          </w:tcPr>
          <w:p>
            <w:pPr>
              <w:pStyle w:val="8"/>
              <w:spacing w:before="227" w:line="160" w:lineRule="exact"/>
              <w:ind w:left="29"/>
            </w:pPr>
            <w:r>
              <w:rPr>
                <w:spacing w:val="-5"/>
              </w:rPr>
              <w:t>ETV6，</w:t>
            </w:r>
            <w:r>
              <w:rPr>
                <w:spacing w:val="17"/>
              </w:rPr>
              <w:t xml:space="preserve"> </w:t>
            </w:r>
            <w:r>
              <w:rPr>
                <w:spacing w:val="-5"/>
              </w:rPr>
              <w:t>NTRK3</w:t>
            </w:r>
          </w:p>
        </w:tc>
        <w:tc>
          <w:tcPr>
            <w:tcW w:w="428" w:type="pct"/>
          </w:tcPr>
          <w:p>
            <w:pPr>
              <w:pStyle w:val="8"/>
              <w:spacing w:before="217" w:line="160" w:lineRule="exact"/>
              <w:ind w:left="27"/>
            </w:pPr>
            <w:r>
              <w:rPr>
                <w:spacing w:val="2"/>
              </w:rPr>
              <w:t>3.诊断和鉴别诊断</w:t>
            </w:r>
          </w:p>
        </w:tc>
        <w:tc>
          <w:tcPr>
            <w:tcW w:w="809" w:type="pct"/>
          </w:tcPr>
          <w:p>
            <w:pPr>
              <w:pStyle w:val="8"/>
              <w:spacing w:before="88" w:line="160" w:lineRule="exact"/>
              <w:ind w:left="19" w:right="88" w:firstLine="12"/>
            </w:pPr>
            <w:r>
              <w:t>FDA</w:t>
            </w:r>
            <w:r>
              <w:rPr>
                <w:spacing w:val="1"/>
              </w:rPr>
              <w:t>批准</w:t>
            </w:r>
            <w:r>
              <w:t>larotrectinib</w:t>
            </w:r>
            <w:r>
              <w:rPr>
                <w:spacing w:val="1"/>
              </w:rPr>
              <w:t xml:space="preserve"> （拉罗替尼） 用于治疗携带</w:t>
            </w:r>
            <w:r>
              <w:t>NTRK</w:t>
            </w:r>
            <w:r>
              <w:rPr>
                <w:spacing w:val="1"/>
              </w:rPr>
              <w:t>基因融合的局部晚期或</w:t>
            </w:r>
            <w:r>
              <w:rPr>
                <w:spacing w:val="13"/>
              </w:rPr>
              <w:t xml:space="preserve"> </w:t>
            </w:r>
            <w:r>
              <w:rPr>
                <w:spacing w:val="3"/>
              </w:rPr>
              <w:t>转移性实体瘤</w:t>
            </w:r>
          </w:p>
        </w:tc>
        <w:tc>
          <w:tcPr>
            <w:tcW w:w="1048" w:type="pct"/>
          </w:tcPr>
          <w:p>
            <w:pPr>
              <w:pStyle w:val="8"/>
              <w:spacing w:before="22" w:line="160" w:lineRule="exact"/>
              <w:ind w:left="23" w:right="96" w:firstLine="3"/>
              <w:rPr>
                <w:lang w:eastAsia="zh-CN"/>
              </w:rPr>
            </w:pPr>
            <w:r>
              <w:rPr>
                <w:spacing w:val="1"/>
                <w:lang w:eastAsia="zh-CN"/>
              </w:rPr>
              <w:t>①免疫组化</w:t>
            </w:r>
            <w:r>
              <w:rPr>
                <w:lang w:eastAsia="zh-CN"/>
              </w:rPr>
              <w:t>pan</w:t>
            </w:r>
            <w:r>
              <w:rPr>
                <w:spacing w:val="1"/>
                <w:lang w:eastAsia="zh-CN"/>
              </w:rPr>
              <w:t>-</w:t>
            </w:r>
            <w:r>
              <w:rPr>
                <w:lang w:eastAsia="zh-CN"/>
              </w:rPr>
              <w:t>TRK</w:t>
            </w:r>
            <w:r>
              <w:rPr>
                <w:spacing w:val="1"/>
                <w:lang w:eastAsia="zh-CN"/>
              </w:rPr>
              <w:t>阳性， 确诊分泌性</w:t>
            </w:r>
            <w:r>
              <w:rPr>
                <w:spacing w:val="2"/>
                <w:lang w:eastAsia="zh-CN"/>
              </w:rPr>
              <w:t xml:space="preserve"> </w:t>
            </w:r>
            <w:r>
              <w:rPr>
                <w:spacing w:val="1"/>
                <w:lang w:eastAsia="zh-CN"/>
              </w:rPr>
              <w:t>癌</w:t>
            </w:r>
          </w:p>
          <w:p>
            <w:pPr>
              <w:pStyle w:val="8"/>
              <w:spacing w:before="21" w:line="160" w:lineRule="exact"/>
              <w:ind w:left="27"/>
              <w:rPr>
                <w:lang w:eastAsia="zh-CN"/>
              </w:rPr>
            </w:pPr>
            <w:r>
              <w:rPr>
                <w:spacing w:val="2"/>
                <w:position w:val="-1"/>
                <w:lang w:eastAsia="zh-CN"/>
              </w:rPr>
              <w:t>②靶向治疗</w:t>
            </w:r>
          </w:p>
        </w:tc>
        <w:tc>
          <w:tcPr>
            <w:tcW w:w="524" w:type="pct"/>
          </w:tcPr>
          <w:p>
            <w:pPr>
              <w:pStyle w:val="8"/>
              <w:spacing w:before="218" w:line="160" w:lineRule="exact"/>
              <w:ind w:left="30"/>
              <w:rPr>
                <w:lang w:eastAsia="zh-CN"/>
              </w:rPr>
            </w:pPr>
            <w:r>
              <w:rPr>
                <w:lang w:eastAsia="zh-CN"/>
              </w:rPr>
              <w:t>CSCO</w:t>
            </w:r>
            <w:r>
              <w:rPr>
                <w:spacing w:val="3"/>
                <w:lang w:eastAsia="zh-CN"/>
              </w:rPr>
              <w:t>头颈部肿瘤诊疗指南2023</w:t>
            </w:r>
          </w:p>
        </w:tc>
        <w:tc>
          <w:tcPr>
            <w:tcW w:w="303" w:type="pct"/>
          </w:tcPr>
          <w:p>
            <w:pPr>
              <w:pStyle w:val="8"/>
              <w:spacing w:before="218" w:line="160" w:lineRule="exact"/>
              <w:ind w:left="30"/>
              <w:rPr>
                <w:lang w:eastAsia="zh-CN"/>
              </w:rPr>
            </w:pPr>
            <w:r>
              <w:rPr>
                <w:rFonts w:hint="eastAsia"/>
                <w:lang w:eastAsia="zh-CN"/>
              </w:rPr>
              <w:t>否</w:t>
            </w:r>
          </w:p>
        </w:tc>
        <w:tc>
          <w:tcPr>
            <w:tcW w:w="549" w:type="pct"/>
          </w:tcPr>
          <w:p>
            <w:pPr>
              <w:pStyle w:val="8"/>
              <w:spacing w:before="218" w:line="160" w:lineRule="exact"/>
              <w:ind w:left="30"/>
              <w:rPr>
                <w:lang w:eastAsia="zh-CN"/>
              </w:rPr>
            </w:pPr>
            <w:r>
              <w:rPr>
                <w:rFonts w:hint="eastAsia"/>
                <w:lang w:eastAsia="zh-CN"/>
              </w:rPr>
              <w:t>是，福建省肿瘤医院</w:t>
            </w:r>
          </w:p>
        </w:tc>
        <w:tc>
          <w:tcPr>
            <w:tcW w:w="527" w:type="pct"/>
          </w:tcPr>
          <w:p>
            <w:pPr>
              <w:pStyle w:val="8"/>
              <w:spacing w:before="218" w:line="160" w:lineRule="exact"/>
              <w:ind w:left="30"/>
              <w:rPr>
                <w:sz w:val="15"/>
                <w:szCs w:val="15"/>
                <w:lang w:eastAsia="zh-CN"/>
              </w:rPr>
            </w:pPr>
            <w:r>
              <w:rPr>
                <w:rFonts w:hint="eastAsia"/>
                <w:sz w:val="15"/>
                <w:szCs w:val="15"/>
                <w:lang w:eastAsia="zh-CN"/>
              </w:rPr>
              <w:t>972/每基因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trPr>
        <w:tc>
          <w:tcPr>
            <w:tcW w:w="115" w:type="pct"/>
            <w:vMerge w:val="continue"/>
            <w:tcBorders>
              <w:top w:val="nil"/>
              <w:bottom w:val="nil"/>
            </w:tcBorders>
          </w:tcPr>
          <w:p>
            <w:pPr>
              <w:spacing w:line="160" w:lineRule="exact"/>
            </w:pPr>
          </w:p>
        </w:tc>
        <w:tc>
          <w:tcPr>
            <w:tcW w:w="189" w:type="pct"/>
            <w:vMerge w:val="continue"/>
            <w:tcBorders>
              <w:top w:val="nil"/>
              <w:bottom w:val="nil"/>
            </w:tcBorders>
          </w:tcPr>
          <w:p>
            <w:pPr>
              <w:spacing w:line="160" w:lineRule="exact"/>
            </w:pPr>
          </w:p>
        </w:tc>
        <w:tc>
          <w:tcPr>
            <w:tcW w:w="504" w:type="pct"/>
          </w:tcPr>
          <w:p>
            <w:pPr>
              <w:pStyle w:val="8"/>
              <w:spacing w:line="160" w:lineRule="exact"/>
              <w:ind w:left="29"/>
            </w:pPr>
            <w:r>
              <w:rPr>
                <w:spacing w:val="-7"/>
              </w:rPr>
              <w:t>MYB，</w:t>
            </w:r>
            <w:r>
              <w:rPr>
                <w:spacing w:val="16"/>
              </w:rPr>
              <w:t xml:space="preserve"> </w:t>
            </w:r>
            <w:r>
              <w:rPr>
                <w:spacing w:val="-7"/>
              </w:rPr>
              <w:t>MYBL，</w:t>
            </w:r>
            <w:r>
              <w:rPr>
                <w:spacing w:val="10"/>
                <w:w w:val="101"/>
              </w:rPr>
              <w:t xml:space="preserve"> </w:t>
            </w:r>
            <w:r>
              <w:rPr>
                <w:spacing w:val="-7"/>
              </w:rPr>
              <w:t>NFIB</w:t>
            </w:r>
          </w:p>
        </w:tc>
        <w:tc>
          <w:tcPr>
            <w:tcW w:w="428" w:type="pct"/>
          </w:tcPr>
          <w:p>
            <w:pPr>
              <w:pStyle w:val="8"/>
              <w:spacing w:before="21" w:line="160" w:lineRule="exact"/>
              <w:ind w:left="27"/>
            </w:pPr>
            <w:r>
              <w:rPr>
                <w:spacing w:val="2"/>
              </w:rPr>
              <w:t>3.诊断和鉴别诊断</w:t>
            </w:r>
          </w:p>
        </w:tc>
        <w:tc>
          <w:tcPr>
            <w:tcW w:w="809" w:type="pct"/>
          </w:tcPr>
          <w:p>
            <w:pPr>
              <w:pStyle w:val="8"/>
              <w:spacing w:line="160" w:lineRule="exact"/>
              <w:ind w:left="15"/>
            </w:pPr>
            <w:r>
              <w:rPr>
                <w:spacing w:val="5"/>
              </w:rPr>
              <w:t>/</w:t>
            </w:r>
          </w:p>
        </w:tc>
        <w:tc>
          <w:tcPr>
            <w:tcW w:w="1048" w:type="pct"/>
          </w:tcPr>
          <w:p>
            <w:pPr>
              <w:pStyle w:val="8"/>
              <w:spacing w:before="21" w:line="160" w:lineRule="exact"/>
              <w:ind w:left="22"/>
            </w:pPr>
            <w:r>
              <w:rPr>
                <w:spacing w:val="3"/>
              </w:rPr>
              <w:t>确诊腺样囊性癌</w:t>
            </w:r>
          </w:p>
        </w:tc>
        <w:tc>
          <w:tcPr>
            <w:tcW w:w="524" w:type="pct"/>
          </w:tcPr>
          <w:p>
            <w:pPr>
              <w:pStyle w:val="8"/>
              <w:spacing w:before="21" w:line="160" w:lineRule="exact"/>
              <w:ind w:left="30"/>
              <w:rPr>
                <w:lang w:eastAsia="zh-CN"/>
              </w:rPr>
            </w:pPr>
            <w:r>
              <w:rPr>
                <w:lang w:eastAsia="zh-CN"/>
              </w:rPr>
              <w:t>CSCO</w:t>
            </w:r>
            <w:r>
              <w:rPr>
                <w:spacing w:val="3"/>
                <w:lang w:eastAsia="zh-CN"/>
              </w:rPr>
              <w:t>头颈部肿瘤诊疗指南2023</w:t>
            </w:r>
          </w:p>
        </w:tc>
        <w:tc>
          <w:tcPr>
            <w:tcW w:w="303" w:type="pct"/>
          </w:tcPr>
          <w:p>
            <w:pPr>
              <w:pStyle w:val="8"/>
              <w:spacing w:before="218" w:line="160" w:lineRule="exact"/>
              <w:ind w:left="30"/>
              <w:rPr>
                <w:lang w:eastAsia="zh-CN"/>
              </w:rPr>
            </w:pPr>
            <w:r>
              <w:rPr>
                <w:rFonts w:hint="eastAsia"/>
                <w:lang w:eastAsia="zh-CN"/>
              </w:rPr>
              <w:t>否</w:t>
            </w:r>
          </w:p>
        </w:tc>
        <w:tc>
          <w:tcPr>
            <w:tcW w:w="549" w:type="pct"/>
          </w:tcPr>
          <w:p>
            <w:pPr>
              <w:pStyle w:val="8"/>
              <w:spacing w:before="218" w:line="160" w:lineRule="exact"/>
              <w:ind w:left="30"/>
              <w:rPr>
                <w:lang w:eastAsia="zh-CN"/>
              </w:rPr>
            </w:pPr>
            <w:r>
              <w:rPr>
                <w:rFonts w:hint="eastAsia"/>
                <w:lang w:eastAsia="zh-CN"/>
              </w:rPr>
              <w:t>是，MYB外送至福建省肿瘤医院，</w:t>
            </w:r>
            <w:r>
              <w:rPr>
                <w:spacing w:val="-7"/>
                <w:lang w:eastAsia="zh-CN"/>
              </w:rPr>
              <w:t>MYBL，</w:t>
            </w:r>
            <w:r>
              <w:rPr>
                <w:spacing w:val="10"/>
                <w:w w:val="101"/>
                <w:lang w:eastAsia="zh-CN"/>
              </w:rPr>
              <w:t xml:space="preserve"> </w:t>
            </w:r>
            <w:r>
              <w:rPr>
                <w:spacing w:val="-7"/>
                <w:lang w:eastAsia="zh-CN"/>
              </w:rPr>
              <w:t>NFIB</w:t>
            </w:r>
            <w:r>
              <w:rPr>
                <w:rFonts w:hint="eastAsia"/>
                <w:spacing w:val="-7"/>
                <w:lang w:eastAsia="zh-CN"/>
              </w:rPr>
              <w:t>未检测</w:t>
            </w:r>
          </w:p>
        </w:tc>
        <w:tc>
          <w:tcPr>
            <w:tcW w:w="527" w:type="pct"/>
          </w:tcPr>
          <w:p>
            <w:pPr>
              <w:spacing w:before="218" w:line="160" w:lineRule="exact"/>
              <w:ind w:left="30"/>
              <w:rPr>
                <w:rFonts w:ascii="微软雅黑" w:hAnsi="微软雅黑" w:eastAsia="微软雅黑" w:cs="微软雅黑"/>
                <w:sz w:val="15"/>
                <w:szCs w:val="15"/>
                <w:lang w:eastAsia="zh-CN"/>
              </w:rPr>
            </w:pPr>
            <w:r>
              <w:rPr>
                <w:rFonts w:hint="eastAsia" w:ascii="微软雅黑" w:hAnsi="微软雅黑" w:eastAsia="微软雅黑" w:cs="微软雅黑"/>
                <w:sz w:val="15"/>
                <w:szCs w:val="15"/>
                <w:lang w:eastAsia="zh-CN"/>
              </w:rPr>
              <w:t>972/每基因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9" w:hRule="atLeast"/>
        </w:trPr>
        <w:tc>
          <w:tcPr>
            <w:tcW w:w="115" w:type="pct"/>
            <w:vMerge w:val="continue"/>
            <w:tcBorders>
              <w:top w:val="nil"/>
              <w:bottom w:val="nil"/>
            </w:tcBorders>
          </w:tcPr>
          <w:p>
            <w:pPr>
              <w:spacing w:line="160" w:lineRule="exact"/>
              <w:rPr>
                <w:lang w:eastAsia="zh-CN"/>
              </w:rPr>
            </w:pPr>
          </w:p>
        </w:tc>
        <w:tc>
          <w:tcPr>
            <w:tcW w:w="189" w:type="pct"/>
            <w:vMerge w:val="continue"/>
            <w:tcBorders>
              <w:top w:val="nil"/>
              <w:bottom w:val="nil"/>
            </w:tcBorders>
          </w:tcPr>
          <w:p>
            <w:pPr>
              <w:spacing w:line="160" w:lineRule="exact"/>
              <w:rPr>
                <w:lang w:eastAsia="zh-CN"/>
              </w:rPr>
            </w:pPr>
          </w:p>
        </w:tc>
        <w:tc>
          <w:tcPr>
            <w:tcW w:w="504" w:type="pct"/>
          </w:tcPr>
          <w:p>
            <w:pPr>
              <w:spacing w:line="160" w:lineRule="exact"/>
              <w:rPr>
                <w:lang w:eastAsia="zh-CN"/>
              </w:rPr>
            </w:pPr>
          </w:p>
          <w:p>
            <w:pPr>
              <w:pStyle w:val="8"/>
              <w:spacing w:before="60" w:line="160" w:lineRule="exact"/>
              <w:ind w:left="29"/>
            </w:pPr>
            <w:r>
              <w:t>MAML2</w:t>
            </w:r>
          </w:p>
        </w:tc>
        <w:tc>
          <w:tcPr>
            <w:tcW w:w="428" w:type="pct"/>
          </w:tcPr>
          <w:p>
            <w:pPr>
              <w:spacing w:line="160" w:lineRule="exact"/>
            </w:pPr>
          </w:p>
          <w:p>
            <w:pPr>
              <w:pStyle w:val="8"/>
              <w:spacing w:before="60" w:line="160" w:lineRule="exact"/>
              <w:ind w:left="27"/>
            </w:pPr>
            <w:r>
              <w:rPr>
                <w:spacing w:val="2"/>
              </w:rPr>
              <w:t>3.诊断和鉴别诊断</w:t>
            </w:r>
          </w:p>
        </w:tc>
        <w:tc>
          <w:tcPr>
            <w:tcW w:w="809" w:type="pct"/>
          </w:tcPr>
          <w:p>
            <w:pPr>
              <w:spacing w:line="160" w:lineRule="exact"/>
            </w:pPr>
          </w:p>
          <w:p>
            <w:pPr>
              <w:pStyle w:val="8"/>
              <w:spacing w:before="60" w:line="160" w:lineRule="exact"/>
              <w:ind w:left="15"/>
            </w:pPr>
            <w:r>
              <w:rPr>
                <w:spacing w:val="5"/>
              </w:rPr>
              <w:t>/</w:t>
            </w:r>
          </w:p>
        </w:tc>
        <w:tc>
          <w:tcPr>
            <w:tcW w:w="1048" w:type="pct"/>
          </w:tcPr>
          <w:p>
            <w:pPr>
              <w:pStyle w:val="8"/>
              <w:spacing w:before="60" w:line="160" w:lineRule="exact"/>
              <w:ind w:left="27"/>
              <w:rPr>
                <w:lang w:eastAsia="zh-CN"/>
              </w:rPr>
            </w:pPr>
            <w:r>
              <w:rPr>
                <w:spacing w:val="3"/>
                <w:lang w:eastAsia="zh-CN"/>
              </w:rPr>
              <w:t>①确诊黏液表皮样癌</w:t>
            </w:r>
          </w:p>
          <w:p>
            <w:pPr>
              <w:pStyle w:val="8"/>
              <w:spacing w:before="17" w:line="160" w:lineRule="exact"/>
              <w:ind w:left="23" w:right="62" w:firstLine="3"/>
              <w:rPr>
                <w:lang w:eastAsia="zh-CN"/>
              </w:rPr>
            </w:pPr>
            <w:r>
              <w:rPr>
                <w:spacing w:val="4"/>
                <w:lang w:eastAsia="zh-CN"/>
              </w:rPr>
              <w:t>②</w:t>
            </w:r>
            <w:r>
              <w:rPr>
                <w:lang w:eastAsia="zh-CN"/>
              </w:rPr>
              <w:t>MAML</w:t>
            </w:r>
            <w:r>
              <w:rPr>
                <w:spacing w:val="4"/>
                <w:lang w:eastAsia="zh-CN"/>
              </w:rPr>
              <w:t>2用于特殊亚型的辅助诊断:比</w:t>
            </w:r>
            <w:r>
              <w:rPr>
                <w:lang w:eastAsia="zh-CN"/>
              </w:rPr>
              <w:t xml:space="preserve">  </w:t>
            </w:r>
            <w:r>
              <w:rPr>
                <w:spacing w:val="3"/>
                <w:lang w:eastAsia="zh-CN"/>
              </w:rPr>
              <w:t>如嗜酸细胞变异型(包括嗜酸细胞瘤和嗜</w:t>
            </w:r>
            <w:r>
              <w:rPr>
                <w:spacing w:val="9"/>
                <w:lang w:eastAsia="zh-CN"/>
              </w:rPr>
              <w:t xml:space="preserve"> </w:t>
            </w:r>
            <w:r>
              <w:rPr>
                <w:spacing w:val="2"/>
                <w:lang w:eastAsia="zh-CN"/>
              </w:rPr>
              <w:t>酸细胞癌。</w:t>
            </w:r>
          </w:p>
        </w:tc>
        <w:tc>
          <w:tcPr>
            <w:tcW w:w="524" w:type="pct"/>
          </w:tcPr>
          <w:p>
            <w:pPr>
              <w:spacing w:line="160" w:lineRule="exact"/>
              <w:rPr>
                <w:lang w:eastAsia="zh-CN"/>
              </w:rPr>
            </w:pPr>
          </w:p>
          <w:p>
            <w:pPr>
              <w:pStyle w:val="8"/>
              <w:spacing w:before="60" w:line="160" w:lineRule="exact"/>
              <w:ind w:left="30"/>
              <w:rPr>
                <w:lang w:eastAsia="zh-CN"/>
              </w:rPr>
            </w:pPr>
            <w:r>
              <w:rPr>
                <w:lang w:eastAsia="zh-CN"/>
              </w:rPr>
              <w:t>CSCO</w:t>
            </w:r>
            <w:r>
              <w:rPr>
                <w:spacing w:val="3"/>
                <w:lang w:eastAsia="zh-CN"/>
              </w:rPr>
              <w:t>头颈部肿瘤诊疗指南2023</w:t>
            </w:r>
          </w:p>
        </w:tc>
        <w:tc>
          <w:tcPr>
            <w:tcW w:w="303" w:type="pct"/>
          </w:tcPr>
          <w:p>
            <w:pPr>
              <w:pStyle w:val="8"/>
              <w:spacing w:before="218" w:line="160" w:lineRule="exact"/>
              <w:ind w:left="30"/>
              <w:rPr>
                <w:lang w:eastAsia="zh-CN"/>
              </w:rPr>
            </w:pPr>
            <w:r>
              <w:rPr>
                <w:rFonts w:hint="eastAsia"/>
                <w:lang w:eastAsia="zh-CN"/>
              </w:rPr>
              <w:t>否</w:t>
            </w:r>
          </w:p>
        </w:tc>
        <w:tc>
          <w:tcPr>
            <w:tcW w:w="549" w:type="pct"/>
          </w:tcPr>
          <w:p>
            <w:pPr>
              <w:pStyle w:val="8"/>
              <w:spacing w:before="218" w:line="160" w:lineRule="exact"/>
              <w:ind w:left="30"/>
              <w:rPr>
                <w:lang w:eastAsia="zh-CN"/>
              </w:rPr>
            </w:pPr>
            <w:r>
              <w:rPr>
                <w:rFonts w:hint="eastAsia"/>
                <w:lang w:eastAsia="zh-CN"/>
              </w:rPr>
              <w:t>是，福建省肿瘤医院</w:t>
            </w:r>
          </w:p>
        </w:tc>
        <w:tc>
          <w:tcPr>
            <w:tcW w:w="527" w:type="pct"/>
          </w:tcPr>
          <w:p>
            <w:pPr>
              <w:spacing w:before="218" w:line="160" w:lineRule="exact"/>
              <w:ind w:left="30"/>
              <w:rPr>
                <w:rFonts w:ascii="微软雅黑" w:hAnsi="微软雅黑" w:eastAsia="微软雅黑" w:cs="微软雅黑"/>
                <w:sz w:val="15"/>
                <w:szCs w:val="15"/>
                <w:lang w:eastAsia="zh-CN"/>
              </w:rPr>
            </w:pPr>
            <w:r>
              <w:rPr>
                <w:rFonts w:hint="eastAsia" w:ascii="微软雅黑" w:hAnsi="微软雅黑" w:eastAsia="微软雅黑" w:cs="微软雅黑"/>
                <w:sz w:val="15"/>
                <w:szCs w:val="15"/>
                <w:lang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trPr>
        <w:tc>
          <w:tcPr>
            <w:tcW w:w="115" w:type="pct"/>
            <w:vMerge w:val="continue"/>
            <w:tcBorders>
              <w:top w:val="nil"/>
              <w:bottom w:val="nil"/>
            </w:tcBorders>
          </w:tcPr>
          <w:p>
            <w:pPr>
              <w:spacing w:line="160" w:lineRule="exact"/>
            </w:pPr>
          </w:p>
        </w:tc>
        <w:tc>
          <w:tcPr>
            <w:tcW w:w="189" w:type="pct"/>
            <w:vMerge w:val="continue"/>
            <w:tcBorders>
              <w:top w:val="nil"/>
              <w:bottom w:val="nil"/>
            </w:tcBorders>
          </w:tcPr>
          <w:p>
            <w:pPr>
              <w:spacing w:line="160" w:lineRule="exact"/>
            </w:pPr>
          </w:p>
        </w:tc>
        <w:tc>
          <w:tcPr>
            <w:tcW w:w="504" w:type="pct"/>
          </w:tcPr>
          <w:p>
            <w:pPr>
              <w:pStyle w:val="8"/>
              <w:spacing w:before="129" w:line="160" w:lineRule="exact"/>
              <w:ind w:left="29"/>
            </w:pPr>
            <w:r>
              <w:rPr>
                <w:spacing w:val="-3"/>
              </w:rPr>
              <w:t>EWSR1， ATF1</w:t>
            </w:r>
          </w:p>
        </w:tc>
        <w:tc>
          <w:tcPr>
            <w:tcW w:w="428" w:type="pct"/>
          </w:tcPr>
          <w:p>
            <w:pPr>
              <w:pStyle w:val="8"/>
              <w:spacing w:before="120" w:line="160" w:lineRule="exact"/>
              <w:ind w:left="27"/>
            </w:pPr>
            <w:r>
              <w:rPr>
                <w:spacing w:val="2"/>
              </w:rPr>
              <w:t>3.诊断和鉴别诊断</w:t>
            </w:r>
          </w:p>
        </w:tc>
        <w:tc>
          <w:tcPr>
            <w:tcW w:w="809" w:type="pct"/>
          </w:tcPr>
          <w:p>
            <w:pPr>
              <w:pStyle w:val="8"/>
              <w:spacing w:before="94" w:line="160" w:lineRule="exact"/>
              <w:ind w:left="15"/>
            </w:pPr>
            <w:r>
              <w:rPr>
                <w:spacing w:val="5"/>
              </w:rPr>
              <w:t>/</w:t>
            </w:r>
          </w:p>
        </w:tc>
        <w:tc>
          <w:tcPr>
            <w:tcW w:w="1048" w:type="pct"/>
          </w:tcPr>
          <w:p>
            <w:pPr>
              <w:pStyle w:val="8"/>
              <w:spacing w:before="23" w:line="160" w:lineRule="exact"/>
              <w:ind w:left="23" w:right="108"/>
              <w:rPr>
                <w:lang w:eastAsia="zh-CN"/>
              </w:rPr>
            </w:pPr>
            <w:r>
              <w:rPr>
                <w:spacing w:val="1"/>
                <w:lang w:eastAsia="zh-CN"/>
              </w:rPr>
              <w:t>形态及免疫表型与鳞癌存在交叉， 确诊</w:t>
            </w:r>
            <w:r>
              <w:rPr>
                <w:spacing w:val="5"/>
                <w:lang w:eastAsia="zh-CN"/>
              </w:rPr>
              <w:t xml:space="preserve"> </w:t>
            </w:r>
            <w:r>
              <w:rPr>
                <w:spacing w:val="3"/>
                <w:lang w:eastAsia="zh-CN"/>
              </w:rPr>
              <w:t>玻璃样变透明细胞癌</w:t>
            </w:r>
          </w:p>
        </w:tc>
        <w:tc>
          <w:tcPr>
            <w:tcW w:w="524" w:type="pct"/>
          </w:tcPr>
          <w:p>
            <w:pPr>
              <w:pStyle w:val="8"/>
              <w:spacing w:before="120" w:line="160" w:lineRule="exact"/>
              <w:ind w:left="30"/>
              <w:rPr>
                <w:lang w:eastAsia="zh-CN"/>
              </w:rPr>
            </w:pPr>
            <w:r>
              <w:rPr>
                <w:lang w:eastAsia="zh-CN"/>
              </w:rPr>
              <w:t>CSCO</w:t>
            </w:r>
            <w:r>
              <w:rPr>
                <w:spacing w:val="3"/>
                <w:lang w:eastAsia="zh-CN"/>
              </w:rPr>
              <w:t>头颈部肿瘤诊疗指南2023</w:t>
            </w:r>
          </w:p>
        </w:tc>
        <w:tc>
          <w:tcPr>
            <w:tcW w:w="303" w:type="pct"/>
          </w:tcPr>
          <w:p>
            <w:pPr>
              <w:pStyle w:val="8"/>
              <w:spacing w:before="218" w:line="160" w:lineRule="exact"/>
              <w:ind w:left="30"/>
              <w:rPr>
                <w:lang w:eastAsia="zh-CN"/>
              </w:rPr>
            </w:pPr>
            <w:r>
              <w:rPr>
                <w:rFonts w:hint="eastAsia"/>
                <w:lang w:eastAsia="zh-CN"/>
              </w:rPr>
              <w:t>否</w:t>
            </w:r>
          </w:p>
        </w:tc>
        <w:tc>
          <w:tcPr>
            <w:tcW w:w="549" w:type="pct"/>
          </w:tcPr>
          <w:p>
            <w:pPr>
              <w:pStyle w:val="8"/>
              <w:spacing w:before="218" w:line="160" w:lineRule="exact"/>
              <w:ind w:left="30"/>
              <w:rPr>
                <w:lang w:eastAsia="zh-CN"/>
              </w:rPr>
            </w:pPr>
            <w:r>
              <w:rPr>
                <w:rFonts w:hint="eastAsia"/>
                <w:lang w:eastAsia="zh-CN"/>
              </w:rPr>
              <w:t>是，EWSR1外送至福建省肿瘤医院，</w:t>
            </w:r>
            <w:r>
              <w:rPr>
                <w:spacing w:val="-3"/>
                <w:lang w:eastAsia="zh-CN"/>
              </w:rPr>
              <w:t xml:space="preserve"> ATF1</w:t>
            </w:r>
            <w:r>
              <w:rPr>
                <w:rFonts w:hint="eastAsia"/>
                <w:spacing w:val="-3"/>
                <w:lang w:eastAsia="zh-CN"/>
              </w:rPr>
              <w:t>未检测</w:t>
            </w:r>
          </w:p>
        </w:tc>
        <w:tc>
          <w:tcPr>
            <w:tcW w:w="527" w:type="pct"/>
          </w:tcPr>
          <w:p>
            <w:pPr>
              <w:spacing w:before="218" w:line="160" w:lineRule="exact"/>
              <w:ind w:left="30"/>
              <w:rPr>
                <w:rFonts w:ascii="微软雅黑" w:hAnsi="微软雅黑" w:eastAsia="微软雅黑" w:cs="微软雅黑"/>
                <w:sz w:val="15"/>
                <w:szCs w:val="15"/>
                <w:lang w:eastAsia="zh-CN"/>
              </w:rPr>
            </w:pPr>
            <w:r>
              <w:rPr>
                <w:rFonts w:hint="eastAsia" w:ascii="微软雅黑" w:hAnsi="微软雅黑" w:eastAsia="微软雅黑" w:cs="微软雅黑"/>
                <w:sz w:val="15"/>
                <w:szCs w:val="15"/>
                <w:lang w:eastAsia="zh-CN"/>
              </w:rPr>
              <w:t>972/每基因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4" w:hRule="atLeast"/>
        </w:trPr>
        <w:tc>
          <w:tcPr>
            <w:tcW w:w="115" w:type="pct"/>
            <w:vMerge w:val="restart"/>
            <w:tcBorders>
              <w:bottom w:val="nil"/>
            </w:tcBorders>
          </w:tcPr>
          <w:p>
            <w:pPr>
              <w:spacing w:line="160" w:lineRule="exact"/>
            </w:pPr>
          </w:p>
          <w:p>
            <w:pPr>
              <w:spacing w:line="160" w:lineRule="exact"/>
            </w:pPr>
          </w:p>
          <w:p>
            <w:pPr>
              <w:spacing w:line="160" w:lineRule="exact"/>
            </w:pPr>
          </w:p>
          <w:p>
            <w:pPr>
              <w:pStyle w:val="8"/>
              <w:spacing w:before="60" w:line="160" w:lineRule="exact"/>
              <w:ind w:left="33"/>
            </w:pPr>
            <w:r>
              <w:t>5</w:t>
            </w:r>
          </w:p>
        </w:tc>
        <w:tc>
          <w:tcPr>
            <w:tcW w:w="189" w:type="pct"/>
            <w:vMerge w:val="restart"/>
            <w:tcBorders>
              <w:bottom w:val="nil"/>
            </w:tcBorders>
          </w:tcPr>
          <w:p>
            <w:pPr>
              <w:spacing w:line="160" w:lineRule="exact"/>
            </w:pPr>
          </w:p>
          <w:p>
            <w:pPr>
              <w:spacing w:line="160" w:lineRule="exact"/>
            </w:pPr>
          </w:p>
          <w:p>
            <w:pPr>
              <w:spacing w:line="160" w:lineRule="exact"/>
            </w:pPr>
          </w:p>
          <w:p>
            <w:pPr>
              <w:pStyle w:val="8"/>
              <w:spacing w:before="60" w:line="160" w:lineRule="exact"/>
              <w:ind w:left="15"/>
            </w:pPr>
            <w:r>
              <w:rPr>
                <w:spacing w:val="3"/>
              </w:rPr>
              <w:t>肺癌</w:t>
            </w:r>
          </w:p>
        </w:tc>
        <w:tc>
          <w:tcPr>
            <w:tcW w:w="504" w:type="pct"/>
          </w:tcPr>
          <w:p>
            <w:pPr>
              <w:pStyle w:val="8"/>
              <w:spacing w:before="158" w:line="160" w:lineRule="exact"/>
              <w:ind w:left="29"/>
            </w:pPr>
            <w:r>
              <w:rPr>
                <w:spacing w:val="-2"/>
              </w:rPr>
              <w:t>EGFR</w:t>
            </w:r>
          </w:p>
        </w:tc>
        <w:tc>
          <w:tcPr>
            <w:tcW w:w="428" w:type="pct"/>
          </w:tcPr>
          <w:p>
            <w:pPr>
              <w:pStyle w:val="8"/>
              <w:spacing w:before="148" w:line="160" w:lineRule="exact"/>
              <w:ind w:left="32"/>
            </w:pPr>
            <w:r>
              <w:rPr>
                <w:spacing w:val="1"/>
              </w:rPr>
              <w:t>1.指导靶向治疗</w:t>
            </w:r>
          </w:p>
        </w:tc>
        <w:tc>
          <w:tcPr>
            <w:tcW w:w="809" w:type="pct"/>
          </w:tcPr>
          <w:p>
            <w:pPr>
              <w:pStyle w:val="8"/>
              <w:spacing w:before="45" w:line="160" w:lineRule="exact"/>
              <w:ind w:left="19" w:right="44" w:firstLine="1"/>
              <w:rPr>
                <w:lang w:eastAsia="zh-CN"/>
              </w:rPr>
            </w:pPr>
            <w:r>
              <w:rPr>
                <w:spacing w:val="-3"/>
                <w:lang w:eastAsia="zh-CN"/>
              </w:rPr>
              <w:t>奥希替尼， 阿美替尼， 伏美替尼， 贝福替</w:t>
            </w:r>
            <w:r>
              <w:rPr>
                <w:spacing w:val="-4"/>
                <w:lang w:eastAsia="zh-CN"/>
              </w:rPr>
              <w:t>尼， 达克替尼， 阿法替尼， 吉非替尼，</w:t>
            </w:r>
            <w:r>
              <w:rPr>
                <w:lang w:eastAsia="zh-CN"/>
              </w:rPr>
              <w:t xml:space="preserve"> </w:t>
            </w:r>
            <w:r>
              <w:rPr>
                <w:spacing w:val="-1"/>
                <w:lang w:eastAsia="zh-CN"/>
              </w:rPr>
              <w:t>埃克替尼， 厄洛替尼</w:t>
            </w:r>
          </w:p>
        </w:tc>
        <w:tc>
          <w:tcPr>
            <w:tcW w:w="1048" w:type="pct"/>
          </w:tcPr>
          <w:p>
            <w:pPr>
              <w:pStyle w:val="8"/>
              <w:spacing w:before="148" w:line="160" w:lineRule="exact"/>
              <w:ind w:left="24"/>
            </w:pPr>
            <w:r>
              <w:rPr>
                <w:spacing w:val="3"/>
              </w:rPr>
              <w:t>非小细胞肺癌</w:t>
            </w:r>
          </w:p>
        </w:tc>
        <w:tc>
          <w:tcPr>
            <w:tcW w:w="524" w:type="pct"/>
          </w:tcPr>
          <w:p>
            <w:pPr>
              <w:pStyle w:val="8"/>
              <w:spacing w:before="122" w:line="160" w:lineRule="exact"/>
              <w:ind w:left="37"/>
            </w:pPr>
            <w:r>
              <w:t>NCCN指南非小细胞肺癌 （2023.V4）</w:t>
            </w:r>
          </w:p>
        </w:tc>
        <w:tc>
          <w:tcPr>
            <w:tcW w:w="303" w:type="pct"/>
          </w:tcPr>
          <w:p>
            <w:pPr>
              <w:pStyle w:val="8"/>
              <w:spacing w:before="218" w:line="160" w:lineRule="exact"/>
              <w:ind w:left="30"/>
            </w:pPr>
            <w:r>
              <w:rPr>
                <w:rFonts w:hint="eastAsia"/>
                <w:lang w:eastAsia="zh-CN"/>
              </w:rPr>
              <w:t>否</w:t>
            </w:r>
          </w:p>
        </w:tc>
        <w:tc>
          <w:tcPr>
            <w:tcW w:w="549" w:type="pct"/>
          </w:tcPr>
          <w:p>
            <w:pPr>
              <w:pStyle w:val="8"/>
              <w:spacing w:before="218" w:line="160" w:lineRule="exact"/>
              <w:ind w:left="30"/>
            </w:pPr>
            <w:r>
              <w:rPr>
                <w:rFonts w:hint="eastAsia"/>
                <w:lang w:eastAsia="zh-CN"/>
              </w:rPr>
              <w:t>是，福建省肿瘤医院</w:t>
            </w:r>
          </w:p>
        </w:tc>
        <w:tc>
          <w:tcPr>
            <w:tcW w:w="527" w:type="pct"/>
          </w:tcPr>
          <w:p>
            <w:pPr>
              <w:pStyle w:val="8"/>
              <w:spacing w:before="218" w:line="160" w:lineRule="exact"/>
              <w:ind w:left="30"/>
              <w:rPr>
                <w:lang w:eastAsia="zh-CN"/>
              </w:rPr>
            </w:pPr>
            <w:r>
              <w:rPr>
                <w:rFonts w:hint="eastAsia"/>
                <w:lang w:eastAsia="zh-CN"/>
              </w:rPr>
              <w:t>1100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2" w:hRule="atLeast"/>
        </w:trPr>
        <w:tc>
          <w:tcPr>
            <w:tcW w:w="115" w:type="pct"/>
            <w:vMerge w:val="continue"/>
            <w:tcBorders>
              <w:top w:val="nil"/>
              <w:bottom w:val="nil"/>
            </w:tcBorders>
          </w:tcPr>
          <w:p>
            <w:pPr>
              <w:spacing w:line="160" w:lineRule="exact"/>
              <w:rPr>
                <w:lang w:eastAsia="zh-CN"/>
              </w:rPr>
            </w:pPr>
          </w:p>
        </w:tc>
        <w:tc>
          <w:tcPr>
            <w:tcW w:w="189" w:type="pct"/>
            <w:vMerge w:val="continue"/>
            <w:tcBorders>
              <w:top w:val="nil"/>
              <w:bottom w:val="nil"/>
            </w:tcBorders>
          </w:tcPr>
          <w:p>
            <w:pPr>
              <w:spacing w:line="160" w:lineRule="exact"/>
              <w:rPr>
                <w:lang w:eastAsia="zh-CN"/>
              </w:rPr>
            </w:pPr>
          </w:p>
        </w:tc>
        <w:tc>
          <w:tcPr>
            <w:tcW w:w="504" w:type="pct"/>
          </w:tcPr>
          <w:p>
            <w:pPr>
              <w:pStyle w:val="8"/>
              <w:spacing w:before="173" w:line="160" w:lineRule="exact"/>
              <w:ind w:left="17"/>
            </w:pPr>
            <w:r>
              <w:rPr>
                <w:spacing w:val="1"/>
              </w:rPr>
              <w:t>ALK</w:t>
            </w:r>
          </w:p>
        </w:tc>
        <w:tc>
          <w:tcPr>
            <w:tcW w:w="428" w:type="pct"/>
          </w:tcPr>
          <w:p>
            <w:pPr>
              <w:pStyle w:val="8"/>
              <w:spacing w:before="161" w:line="160" w:lineRule="exact"/>
              <w:ind w:left="32"/>
            </w:pPr>
            <w:r>
              <w:rPr>
                <w:spacing w:val="1"/>
              </w:rPr>
              <w:t>1.指导靶向治疗</w:t>
            </w:r>
          </w:p>
        </w:tc>
        <w:tc>
          <w:tcPr>
            <w:tcW w:w="809" w:type="pct"/>
          </w:tcPr>
          <w:p>
            <w:pPr>
              <w:pStyle w:val="8"/>
              <w:spacing w:before="161" w:line="160" w:lineRule="exact"/>
              <w:ind w:left="20"/>
              <w:rPr>
                <w:lang w:eastAsia="zh-CN"/>
              </w:rPr>
            </w:pPr>
            <w:r>
              <w:rPr>
                <w:spacing w:val="-3"/>
                <w:lang w:eastAsia="zh-CN"/>
              </w:rPr>
              <w:t>克唑替尼， 阿来替尼， 塞瑞替尼， 布格替尼， 恩沙替尼， 伊鲁阿克， 洛拉替尼</w:t>
            </w:r>
          </w:p>
        </w:tc>
        <w:tc>
          <w:tcPr>
            <w:tcW w:w="1048" w:type="pct"/>
          </w:tcPr>
          <w:p>
            <w:pPr>
              <w:pStyle w:val="8"/>
              <w:spacing w:before="161" w:line="160" w:lineRule="exact"/>
              <w:ind w:left="24"/>
            </w:pPr>
            <w:r>
              <w:rPr>
                <w:spacing w:val="3"/>
              </w:rPr>
              <w:t>非小细胞肺癌</w:t>
            </w:r>
          </w:p>
        </w:tc>
        <w:tc>
          <w:tcPr>
            <w:tcW w:w="524" w:type="pct"/>
          </w:tcPr>
          <w:p>
            <w:pPr>
              <w:pStyle w:val="8"/>
              <w:spacing w:before="134" w:line="160" w:lineRule="exact"/>
              <w:ind w:left="37"/>
            </w:pPr>
            <w:r>
              <w:t>NCCN指南非小细胞肺癌 （2023.V4）</w:t>
            </w:r>
          </w:p>
        </w:tc>
        <w:tc>
          <w:tcPr>
            <w:tcW w:w="303" w:type="pct"/>
          </w:tcPr>
          <w:p>
            <w:pPr>
              <w:pStyle w:val="8"/>
              <w:spacing w:before="218" w:line="160" w:lineRule="exact"/>
              <w:ind w:left="30"/>
            </w:pPr>
            <w:r>
              <w:rPr>
                <w:rFonts w:hint="eastAsia"/>
                <w:lang w:eastAsia="zh-CN"/>
              </w:rPr>
              <w:t>否</w:t>
            </w:r>
          </w:p>
        </w:tc>
        <w:tc>
          <w:tcPr>
            <w:tcW w:w="549" w:type="pct"/>
          </w:tcPr>
          <w:p>
            <w:pPr>
              <w:pStyle w:val="8"/>
              <w:spacing w:before="218" w:line="160" w:lineRule="exact"/>
              <w:ind w:left="30"/>
            </w:pPr>
            <w:r>
              <w:rPr>
                <w:rFonts w:hint="eastAsia"/>
                <w:lang w:eastAsia="zh-CN"/>
              </w:rPr>
              <w:t>是，福建省肿瘤医院</w:t>
            </w:r>
          </w:p>
        </w:tc>
        <w:tc>
          <w:tcPr>
            <w:tcW w:w="527" w:type="pct"/>
          </w:tcPr>
          <w:p>
            <w:pPr>
              <w:pStyle w:val="8"/>
              <w:spacing w:before="218" w:line="160" w:lineRule="exact"/>
              <w:ind w:left="30"/>
              <w:rPr>
                <w:rFonts w:hint="default"/>
                <w:lang w:val="en-US"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6" w:hRule="atLeast"/>
        </w:trPr>
        <w:tc>
          <w:tcPr>
            <w:tcW w:w="115" w:type="pct"/>
            <w:vMerge w:val="continue"/>
            <w:tcBorders>
              <w:top w:val="nil"/>
              <w:bottom w:val="nil"/>
            </w:tcBorders>
          </w:tcPr>
          <w:p>
            <w:pPr>
              <w:spacing w:line="160" w:lineRule="exact"/>
              <w:rPr>
                <w:lang w:eastAsia="zh-CN"/>
              </w:rPr>
            </w:pPr>
          </w:p>
        </w:tc>
        <w:tc>
          <w:tcPr>
            <w:tcW w:w="189" w:type="pct"/>
            <w:vMerge w:val="continue"/>
            <w:tcBorders>
              <w:top w:val="nil"/>
              <w:bottom w:val="nil"/>
            </w:tcBorders>
          </w:tcPr>
          <w:p>
            <w:pPr>
              <w:spacing w:line="160" w:lineRule="exact"/>
              <w:rPr>
                <w:lang w:eastAsia="zh-CN"/>
              </w:rPr>
            </w:pPr>
          </w:p>
        </w:tc>
        <w:tc>
          <w:tcPr>
            <w:tcW w:w="504" w:type="pct"/>
          </w:tcPr>
          <w:p>
            <w:pPr>
              <w:pStyle w:val="8"/>
              <w:spacing w:before="152" w:line="160" w:lineRule="exact"/>
              <w:ind w:left="29"/>
            </w:pPr>
            <w:r>
              <w:rPr>
                <w:rFonts w:hint="eastAsia"/>
                <w:spacing w:val="-2"/>
                <w:lang w:eastAsia="zh-CN"/>
              </w:rPr>
              <w:t>肺癌10基因（</w:t>
            </w:r>
            <w:r>
              <w:rPr>
                <w:spacing w:val="-2"/>
              </w:rPr>
              <w:t>EGFR</w:t>
            </w:r>
            <w:r>
              <w:rPr>
                <w:rFonts w:hint="eastAsia"/>
                <w:spacing w:val="-2"/>
                <w:lang w:eastAsia="zh-CN"/>
              </w:rPr>
              <w:t>/ALK/</w:t>
            </w:r>
            <w:r>
              <w:rPr>
                <w:spacing w:val="-2"/>
              </w:rPr>
              <w:t>ROS1</w:t>
            </w:r>
            <w:r>
              <w:rPr>
                <w:rFonts w:hint="eastAsia"/>
                <w:spacing w:val="-2"/>
                <w:lang w:eastAsia="zh-CN"/>
              </w:rPr>
              <w:t>/KRAS/NRAS/MET/RET/BRAF/HER2/PIK3CA）</w:t>
            </w:r>
          </w:p>
        </w:tc>
        <w:tc>
          <w:tcPr>
            <w:tcW w:w="428" w:type="pct"/>
          </w:tcPr>
          <w:p>
            <w:pPr>
              <w:pStyle w:val="8"/>
              <w:spacing w:before="143" w:line="160" w:lineRule="exact"/>
              <w:ind w:left="32"/>
            </w:pPr>
            <w:r>
              <w:rPr>
                <w:spacing w:val="1"/>
              </w:rPr>
              <w:t>1.指导靶向治疗</w:t>
            </w:r>
          </w:p>
        </w:tc>
        <w:tc>
          <w:tcPr>
            <w:tcW w:w="809" w:type="pct"/>
          </w:tcPr>
          <w:p>
            <w:pPr>
              <w:pStyle w:val="8"/>
              <w:spacing w:before="144" w:line="160" w:lineRule="exact"/>
              <w:ind w:left="20"/>
            </w:pPr>
            <w:r>
              <w:rPr>
                <w:spacing w:val="-1"/>
              </w:rPr>
              <w:t>克唑替尼， 恩曲替尼</w:t>
            </w:r>
          </w:p>
        </w:tc>
        <w:tc>
          <w:tcPr>
            <w:tcW w:w="1048" w:type="pct"/>
          </w:tcPr>
          <w:p>
            <w:pPr>
              <w:pStyle w:val="8"/>
              <w:spacing w:before="143" w:line="160" w:lineRule="exact"/>
              <w:ind w:left="31"/>
            </w:pPr>
            <w:r>
              <w:rPr>
                <w:spacing w:val="2"/>
              </w:rPr>
              <w:t>晚期非小细胞肺癌</w:t>
            </w:r>
          </w:p>
        </w:tc>
        <w:tc>
          <w:tcPr>
            <w:tcW w:w="524" w:type="pct"/>
          </w:tcPr>
          <w:p>
            <w:pPr>
              <w:pStyle w:val="8"/>
              <w:spacing w:before="116" w:line="160" w:lineRule="exact"/>
              <w:ind w:left="37"/>
            </w:pPr>
            <w:r>
              <w:t>NCCN指南非小细胞肺癌 （2023.V4）</w:t>
            </w:r>
          </w:p>
        </w:tc>
        <w:tc>
          <w:tcPr>
            <w:tcW w:w="303" w:type="pct"/>
          </w:tcPr>
          <w:p>
            <w:pPr>
              <w:pStyle w:val="8"/>
              <w:spacing w:before="218" w:line="160" w:lineRule="exact"/>
              <w:ind w:left="30"/>
              <w:rPr>
                <w:lang w:eastAsia="zh-CN"/>
              </w:rPr>
            </w:pPr>
            <w:r>
              <w:rPr>
                <w:rFonts w:hint="eastAsia"/>
                <w:lang w:eastAsia="zh-CN"/>
              </w:rPr>
              <w:t>是</w:t>
            </w:r>
          </w:p>
        </w:tc>
        <w:tc>
          <w:tcPr>
            <w:tcW w:w="549" w:type="pct"/>
          </w:tcPr>
          <w:p>
            <w:pPr>
              <w:pStyle w:val="8"/>
              <w:spacing w:before="218" w:line="160" w:lineRule="exact"/>
              <w:ind w:left="30"/>
            </w:pPr>
          </w:p>
        </w:tc>
        <w:tc>
          <w:tcPr>
            <w:tcW w:w="527" w:type="pct"/>
          </w:tcPr>
          <w:p>
            <w:pPr>
              <w:pStyle w:val="8"/>
              <w:spacing w:before="218" w:line="160" w:lineRule="exact"/>
              <w:ind w:left="30"/>
              <w:rPr>
                <w:lang w:eastAsia="zh-CN"/>
              </w:rPr>
            </w:pPr>
            <w:r>
              <w:rPr>
                <w:rFonts w:hint="eastAsia"/>
                <w:lang w:eastAsia="zh-CN"/>
              </w:rPr>
              <w:t>4400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0" w:hRule="atLeast"/>
        </w:trPr>
        <w:tc>
          <w:tcPr>
            <w:tcW w:w="115" w:type="pct"/>
            <w:vMerge w:val="continue"/>
            <w:tcBorders>
              <w:top w:val="nil"/>
            </w:tcBorders>
          </w:tcPr>
          <w:p>
            <w:pPr>
              <w:spacing w:line="160" w:lineRule="exact"/>
              <w:rPr>
                <w:lang w:eastAsia="zh-CN"/>
              </w:rPr>
            </w:pPr>
          </w:p>
        </w:tc>
        <w:tc>
          <w:tcPr>
            <w:tcW w:w="189" w:type="pct"/>
            <w:vMerge w:val="continue"/>
            <w:tcBorders>
              <w:top w:val="nil"/>
            </w:tcBorders>
          </w:tcPr>
          <w:p>
            <w:pPr>
              <w:spacing w:line="160" w:lineRule="exact"/>
              <w:rPr>
                <w:lang w:eastAsia="zh-CN"/>
              </w:rPr>
            </w:pPr>
          </w:p>
        </w:tc>
        <w:tc>
          <w:tcPr>
            <w:tcW w:w="504" w:type="pct"/>
          </w:tcPr>
          <w:p>
            <w:pPr>
              <w:pStyle w:val="8"/>
              <w:spacing w:before="37" w:line="160" w:lineRule="exact"/>
              <w:ind w:left="29"/>
            </w:pPr>
            <w:r>
              <w:rPr>
                <w:spacing w:val="-2"/>
                <w:position w:val="-1"/>
              </w:rPr>
              <w:t>KRAS</w:t>
            </w:r>
          </w:p>
        </w:tc>
        <w:tc>
          <w:tcPr>
            <w:tcW w:w="428" w:type="pct"/>
          </w:tcPr>
          <w:p>
            <w:pPr>
              <w:pStyle w:val="8"/>
              <w:spacing w:before="27" w:line="160" w:lineRule="exact"/>
              <w:ind w:left="32"/>
            </w:pPr>
            <w:r>
              <w:rPr>
                <w:spacing w:val="1"/>
              </w:rPr>
              <w:t>1.指导靶向治疗</w:t>
            </w:r>
          </w:p>
        </w:tc>
        <w:tc>
          <w:tcPr>
            <w:tcW w:w="809" w:type="pct"/>
          </w:tcPr>
          <w:p>
            <w:pPr>
              <w:pStyle w:val="8"/>
              <w:spacing w:line="160" w:lineRule="exact"/>
              <w:ind w:left="24"/>
            </w:pPr>
            <w:r>
              <w:rPr>
                <w:spacing w:val="1"/>
              </w:rPr>
              <w:t>adagrasib,Sotorasib</w:t>
            </w:r>
          </w:p>
        </w:tc>
        <w:tc>
          <w:tcPr>
            <w:tcW w:w="1048" w:type="pct"/>
          </w:tcPr>
          <w:p>
            <w:pPr>
              <w:pStyle w:val="8"/>
              <w:spacing w:before="27" w:line="160" w:lineRule="exact"/>
              <w:ind w:left="31"/>
            </w:pPr>
            <w:r>
              <w:rPr>
                <w:spacing w:val="2"/>
              </w:rPr>
              <w:t>晚期非小细胞肺癌</w:t>
            </w:r>
          </w:p>
        </w:tc>
        <w:tc>
          <w:tcPr>
            <w:tcW w:w="524" w:type="pct"/>
          </w:tcPr>
          <w:p>
            <w:pPr>
              <w:pStyle w:val="8"/>
              <w:spacing w:line="160" w:lineRule="exact"/>
              <w:ind w:left="37"/>
            </w:pPr>
            <w:r>
              <w:t>NCCN指南非小细胞肺癌 （2023.V4）</w:t>
            </w:r>
          </w:p>
        </w:tc>
        <w:tc>
          <w:tcPr>
            <w:tcW w:w="303" w:type="pct"/>
          </w:tcPr>
          <w:p>
            <w:pPr>
              <w:pStyle w:val="8"/>
              <w:spacing w:before="218" w:line="160" w:lineRule="exact"/>
              <w:ind w:left="30"/>
            </w:pPr>
            <w:r>
              <w:rPr>
                <w:rFonts w:hint="eastAsia"/>
                <w:lang w:eastAsia="zh-CN"/>
              </w:rPr>
              <w:t>否</w:t>
            </w:r>
          </w:p>
        </w:tc>
        <w:tc>
          <w:tcPr>
            <w:tcW w:w="549" w:type="pct"/>
          </w:tcPr>
          <w:p>
            <w:pPr>
              <w:pStyle w:val="8"/>
              <w:spacing w:before="218" w:line="160" w:lineRule="exact"/>
              <w:ind w:left="30"/>
            </w:pPr>
            <w:r>
              <w:rPr>
                <w:rFonts w:hint="eastAsia"/>
                <w:lang w:eastAsia="zh-CN"/>
              </w:rPr>
              <w:t>是，福建省肿瘤医院</w:t>
            </w:r>
          </w:p>
        </w:tc>
        <w:tc>
          <w:tcPr>
            <w:tcW w:w="527" w:type="pct"/>
          </w:tcPr>
          <w:p>
            <w:pPr>
              <w:pStyle w:val="8"/>
              <w:spacing w:before="218" w:line="160" w:lineRule="exact"/>
              <w:ind w:left="30"/>
              <w:rPr>
                <w:lang w:eastAsia="zh-CN"/>
              </w:rPr>
            </w:pPr>
            <w:r>
              <w:rPr>
                <w:rFonts w:hint="eastAsia"/>
                <w:lang w:eastAsia="zh-CN"/>
              </w:rPr>
              <w:t>1100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115" w:type="pct"/>
            <w:vMerge w:val="restart"/>
            <w:tcBorders>
              <w:bottom w:val="nil"/>
            </w:tcBorders>
          </w:tcPr>
          <w:p>
            <w:pPr>
              <w:spacing w:line="160" w:lineRule="exact"/>
              <w:rPr>
                <w:lang w:eastAsia="zh-CN"/>
              </w:rPr>
            </w:pPr>
          </w:p>
          <w:p>
            <w:pPr>
              <w:spacing w:line="160" w:lineRule="exact"/>
              <w:rPr>
                <w:lang w:eastAsia="zh-CN"/>
              </w:rPr>
            </w:pPr>
          </w:p>
          <w:p>
            <w:pPr>
              <w:spacing w:line="160" w:lineRule="exact"/>
              <w:rPr>
                <w:lang w:eastAsia="zh-CN"/>
              </w:rPr>
            </w:pPr>
          </w:p>
          <w:p>
            <w:pPr>
              <w:spacing w:line="160" w:lineRule="exact"/>
              <w:rPr>
                <w:lang w:eastAsia="zh-CN"/>
              </w:rPr>
            </w:pPr>
          </w:p>
          <w:p>
            <w:pPr>
              <w:spacing w:line="160" w:lineRule="exact"/>
              <w:rPr>
                <w:lang w:eastAsia="zh-CN"/>
              </w:rPr>
            </w:pPr>
          </w:p>
          <w:p>
            <w:pPr>
              <w:pStyle w:val="8"/>
              <w:spacing w:before="60" w:line="160" w:lineRule="exact"/>
              <w:ind w:left="29"/>
            </w:pPr>
            <w:r>
              <w:t>6</w:t>
            </w:r>
          </w:p>
        </w:tc>
        <w:tc>
          <w:tcPr>
            <w:tcW w:w="189" w:type="pct"/>
            <w:vMerge w:val="restart"/>
            <w:tcBorders>
              <w:bottom w:val="nil"/>
            </w:tcBorders>
          </w:tcPr>
          <w:p>
            <w:pPr>
              <w:spacing w:line="160" w:lineRule="exact"/>
            </w:pPr>
          </w:p>
          <w:p>
            <w:pPr>
              <w:spacing w:line="160" w:lineRule="exact"/>
            </w:pPr>
          </w:p>
          <w:p>
            <w:pPr>
              <w:spacing w:line="160" w:lineRule="exact"/>
            </w:pPr>
          </w:p>
          <w:p>
            <w:pPr>
              <w:spacing w:line="160" w:lineRule="exact"/>
            </w:pPr>
          </w:p>
          <w:p>
            <w:pPr>
              <w:spacing w:line="160" w:lineRule="exact"/>
            </w:pPr>
          </w:p>
          <w:p>
            <w:pPr>
              <w:pStyle w:val="8"/>
              <w:spacing w:before="60" w:line="160" w:lineRule="exact"/>
              <w:ind w:left="18"/>
            </w:pPr>
            <w:r>
              <w:rPr>
                <w:spacing w:val="2"/>
              </w:rPr>
              <w:t>乳腺癌</w:t>
            </w:r>
          </w:p>
        </w:tc>
        <w:tc>
          <w:tcPr>
            <w:tcW w:w="504" w:type="pct"/>
            <w:vMerge w:val="restart"/>
            <w:tcBorders>
              <w:bottom w:val="nil"/>
            </w:tcBorders>
          </w:tcPr>
          <w:p>
            <w:pPr>
              <w:pStyle w:val="8"/>
              <w:spacing w:before="245" w:line="160" w:lineRule="exact"/>
              <w:ind w:left="29"/>
            </w:pPr>
            <w:r>
              <w:rPr>
                <w:spacing w:val="-2"/>
              </w:rPr>
              <w:t>BRCA1/2 （胚系突变）</w:t>
            </w:r>
          </w:p>
        </w:tc>
        <w:tc>
          <w:tcPr>
            <w:tcW w:w="428" w:type="pct"/>
          </w:tcPr>
          <w:p>
            <w:pPr>
              <w:pStyle w:val="8"/>
              <w:spacing w:before="99" w:line="160" w:lineRule="exact"/>
              <w:ind w:left="32"/>
            </w:pPr>
            <w:r>
              <w:rPr>
                <w:spacing w:val="1"/>
              </w:rPr>
              <w:t>1.指导靶向治疗</w:t>
            </w:r>
          </w:p>
        </w:tc>
        <w:tc>
          <w:tcPr>
            <w:tcW w:w="809" w:type="pct"/>
          </w:tcPr>
          <w:p>
            <w:pPr>
              <w:pStyle w:val="8"/>
              <w:spacing w:before="72" w:line="160" w:lineRule="exact"/>
              <w:ind w:left="20"/>
            </w:pPr>
            <w:r>
              <w:rPr>
                <w:spacing w:val="4"/>
              </w:rPr>
              <w:t>奥拉帕利(</w:t>
            </w:r>
            <w:r>
              <w:t>FDA</w:t>
            </w:r>
            <w:r>
              <w:rPr>
                <w:spacing w:val="4"/>
              </w:rPr>
              <w:t>/</w:t>
            </w:r>
            <w:r>
              <w:t>CSCO</w:t>
            </w:r>
            <w:r>
              <w:rPr>
                <w:spacing w:val="4"/>
              </w:rPr>
              <w:t>)、他拉唑帕尼(</w:t>
            </w:r>
            <w:r>
              <w:t>FDA</w:t>
            </w:r>
            <w:r>
              <w:rPr>
                <w:spacing w:val="4"/>
              </w:rPr>
              <w:t>)</w:t>
            </w:r>
          </w:p>
        </w:tc>
        <w:tc>
          <w:tcPr>
            <w:tcW w:w="1048" w:type="pct"/>
          </w:tcPr>
          <w:p>
            <w:pPr>
              <w:pStyle w:val="8"/>
              <w:spacing w:before="72" w:line="160" w:lineRule="exact"/>
              <w:ind w:left="23"/>
            </w:pPr>
            <w:r>
              <w:rPr>
                <w:spacing w:val="5"/>
              </w:rPr>
              <w:t>任何类型(</w:t>
            </w:r>
            <w:r>
              <w:t>CSCO</w:t>
            </w:r>
            <w:r>
              <w:rPr>
                <w:spacing w:val="5"/>
              </w:rPr>
              <w:t>推荐</w:t>
            </w:r>
            <w:r>
              <w:t>TNBC</w:t>
            </w:r>
            <w:r>
              <w:rPr>
                <w:spacing w:val="5"/>
              </w:rPr>
              <w:t>)</w:t>
            </w:r>
          </w:p>
        </w:tc>
        <w:tc>
          <w:tcPr>
            <w:tcW w:w="524" w:type="pct"/>
            <w:vMerge w:val="restart"/>
            <w:tcBorders>
              <w:bottom w:val="nil"/>
            </w:tcBorders>
          </w:tcPr>
          <w:p>
            <w:pPr>
              <w:pStyle w:val="8"/>
              <w:spacing w:before="272" w:line="160" w:lineRule="exact"/>
              <w:ind w:left="30"/>
              <w:rPr>
                <w:lang w:eastAsia="zh-CN"/>
              </w:rPr>
            </w:pPr>
            <w:r>
              <w:rPr>
                <w:lang w:eastAsia="zh-CN"/>
              </w:rPr>
              <w:t>CSCO</w:t>
            </w:r>
            <w:r>
              <w:rPr>
                <w:spacing w:val="3"/>
                <w:lang w:eastAsia="zh-CN"/>
              </w:rPr>
              <w:t>乳腺癌诊疗指南2024</w:t>
            </w:r>
          </w:p>
        </w:tc>
        <w:tc>
          <w:tcPr>
            <w:tcW w:w="303" w:type="pct"/>
            <w:tcBorders>
              <w:bottom w:val="nil"/>
            </w:tcBorders>
          </w:tcPr>
          <w:p>
            <w:pPr>
              <w:pStyle w:val="8"/>
              <w:spacing w:before="218" w:line="160" w:lineRule="exact"/>
              <w:ind w:left="30"/>
            </w:pPr>
            <w:r>
              <w:rPr>
                <w:rFonts w:hint="eastAsia"/>
                <w:lang w:eastAsia="zh-CN"/>
              </w:rPr>
              <w:t>否</w:t>
            </w:r>
          </w:p>
        </w:tc>
        <w:tc>
          <w:tcPr>
            <w:tcW w:w="549" w:type="pct"/>
            <w:tcBorders>
              <w:bottom w:val="nil"/>
            </w:tcBorders>
          </w:tcPr>
          <w:p>
            <w:pPr>
              <w:pStyle w:val="8"/>
              <w:spacing w:before="218" w:line="160" w:lineRule="exact"/>
              <w:ind w:left="30"/>
            </w:pPr>
            <w:r>
              <w:rPr>
                <w:rFonts w:hint="eastAsia"/>
                <w:lang w:eastAsia="zh-CN"/>
              </w:rPr>
              <w:t>是，福建省肿瘤医院</w:t>
            </w:r>
          </w:p>
        </w:tc>
        <w:tc>
          <w:tcPr>
            <w:tcW w:w="527" w:type="pct"/>
            <w:vMerge w:val="restart"/>
          </w:tcPr>
          <w:p>
            <w:pPr>
              <w:pStyle w:val="8"/>
              <w:spacing w:before="218" w:line="160" w:lineRule="exact"/>
              <w:ind w:left="30"/>
              <w:rPr>
                <w:lang w:eastAsia="zh-CN"/>
              </w:rPr>
            </w:pPr>
            <w:r>
              <w:rPr>
                <w:rFonts w:hint="eastAsia"/>
                <w:lang w:eastAsia="zh-CN"/>
              </w:rPr>
              <w:t>2500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15" w:type="pct"/>
            <w:vMerge w:val="continue"/>
            <w:tcBorders>
              <w:top w:val="nil"/>
              <w:bottom w:val="nil"/>
            </w:tcBorders>
          </w:tcPr>
          <w:p>
            <w:pPr>
              <w:spacing w:line="160" w:lineRule="exact"/>
            </w:pPr>
          </w:p>
        </w:tc>
        <w:tc>
          <w:tcPr>
            <w:tcW w:w="189" w:type="pct"/>
            <w:vMerge w:val="continue"/>
            <w:tcBorders>
              <w:top w:val="nil"/>
              <w:bottom w:val="nil"/>
            </w:tcBorders>
          </w:tcPr>
          <w:p>
            <w:pPr>
              <w:spacing w:line="160" w:lineRule="exact"/>
            </w:pPr>
          </w:p>
        </w:tc>
        <w:tc>
          <w:tcPr>
            <w:tcW w:w="504" w:type="pct"/>
            <w:vMerge w:val="continue"/>
            <w:tcBorders>
              <w:top w:val="nil"/>
            </w:tcBorders>
          </w:tcPr>
          <w:p>
            <w:pPr>
              <w:spacing w:line="160" w:lineRule="exact"/>
            </w:pPr>
          </w:p>
        </w:tc>
        <w:tc>
          <w:tcPr>
            <w:tcW w:w="428" w:type="pct"/>
          </w:tcPr>
          <w:p>
            <w:pPr>
              <w:pStyle w:val="8"/>
              <w:spacing w:before="99" w:line="160" w:lineRule="exact"/>
              <w:ind w:left="25"/>
            </w:pPr>
            <w:r>
              <w:rPr>
                <w:spacing w:val="1"/>
              </w:rPr>
              <w:t>6.指导化疗</w:t>
            </w:r>
          </w:p>
        </w:tc>
        <w:tc>
          <w:tcPr>
            <w:tcW w:w="809" w:type="pct"/>
          </w:tcPr>
          <w:p>
            <w:pPr>
              <w:pStyle w:val="8"/>
              <w:spacing w:before="73" w:line="160" w:lineRule="exact"/>
              <w:ind w:left="22"/>
              <w:rPr>
                <w:lang w:eastAsia="zh-CN"/>
              </w:rPr>
            </w:pPr>
            <w:r>
              <w:rPr>
                <w:spacing w:val="4"/>
                <w:lang w:eastAsia="zh-CN"/>
              </w:rPr>
              <w:t>卡铂(</w:t>
            </w:r>
            <w:r>
              <w:rPr>
                <w:lang w:eastAsia="zh-CN"/>
              </w:rPr>
              <w:t>NCCN</w:t>
            </w:r>
            <w:r>
              <w:rPr>
                <w:spacing w:val="4"/>
                <w:lang w:eastAsia="zh-CN"/>
              </w:rPr>
              <w:t>)、顺铂(</w:t>
            </w:r>
            <w:r>
              <w:rPr>
                <w:lang w:eastAsia="zh-CN"/>
              </w:rPr>
              <w:t>NCCN</w:t>
            </w:r>
            <w:r>
              <w:rPr>
                <w:spacing w:val="4"/>
                <w:lang w:eastAsia="zh-CN"/>
              </w:rPr>
              <w:t>)</w:t>
            </w:r>
          </w:p>
        </w:tc>
        <w:tc>
          <w:tcPr>
            <w:tcW w:w="1048" w:type="pct"/>
          </w:tcPr>
          <w:p>
            <w:pPr>
              <w:pStyle w:val="8"/>
              <w:spacing w:before="109" w:line="160" w:lineRule="exact"/>
              <w:ind w:left="24"/>
            </w:pPr>
            <w:r>
              <w:rPr>
                <w:spacing w:val="1"/>
              </w:rPr>
              <w:t>TNBC</w:t>
            </w:r>
          </w:p>
        </w:tc>
        <w:tc>
          <w:tcPr>
            <w:tcW w:w="524" w:type="pct"/>
            <w:vMerge w:val="continue"/>
            <w:tcBorders>
              <w:top w:val="nil"/>
            </w:tcBorders>
          </w:tcPr>
          <w:p>
            <w:pPr>
              <w:spacing w:line="160" w:lineRule="exact"/>
            </w:pPr>
          </w:p>
        </w:tc>
        <w:tc>
          <w:tcPr>
            <w:tcW w:w="303" w:type="pct"/>
            <w:tcBorders>
              <w:top w:val="nil"/>
            </w:tcBorders>
          </w:tcPr>
          <w:p>
            <w:pPr>
              <w:pStyle w:val="8"/>
              <w:spacing w:before="218" w:line="160" w:lineRule="exact"/>
              <w:ind w:left="30"/>
              <w:rPr>
                <w:rFonts w:ascii="Arial"/>
                <w:sz w:val="21"/>
              </w:rPr>
            </w:pPr>
            <w:r>
              <w:rPr>
                <w:rFonts w:hint="eastAsia"/>
                <w:lang w:eastAsia="zh-CN"/>
              </w:rPr>
              <w:t>否</w:t>
            </w:r>
          </w:p>
        </w:tc>
        <w:tc>
          <w:tcPr>
            <w:tcW w:w="549" w:type="pct"/>
            <w:tcBorders>
              <w:top w:val="nil"/>
            </w:tcBorders>
          </w:tcPr>
          <w:p>
            <w:pPr>
              <w:pStyle w:val="8"/>
              <w:spacing w:before="218" w:line="160" w:lineRule="exact"/>
              <w:ind w:left="30"/>
              <w:rPr>
                <w:rFonts w:ascii="Arial"/>
                <w:sz w:val="21"/>
              </w:rPr>
            </w:pPr>
            <w:r>
              <w:rPr>
                <w:rFonts w:hint="eastAsia"/>
                <w:lang w:eastAsia="zh-CN"/>
              </w:rPr>
              <w:t>是，福建省肿瘤医院</w:t>
            </w:r>
          </w:p>
        </w:tc>
        <w:tc>
          <w:tcPr>
            <w:tcW w:w="527" w:type="pct"/>
            <w:vMerge w:val="continue"/>
          </w:tcPr>
          <w:p>
            <w:pPr>
              <w:pStyle w:val="8"/>
              <w:spacing w:before="218" w:line="160" w:lineRule="exact"/>
              <w:ind w:left="30"/>
              <w:rPr>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115" w:type="pct"/>
            <w:vMerge w:val="continue"/>
            <w:tcBorders>
              <w:top w:val="nil"/>
              <w:bottom w:val="nil"/>
            </w:tcBorders>
          </w:tcPr>
          <w:p>
            <w:pPr>
              <w:spacing w:line="160" w:lineRule="exact"/>
            </w:pPr>
          </w:p>
        </w:tc>
        <w:tc>
          <w:tcPr>
            <w:tcW w:w="189" w:type="pct"/>
            <w:vMerge w:val="continue"/>
            <w:tcBorders>
              <w:top w:val="nil"/>
              <w:bottom w:val="nil"/>
            </w:tcBorders>
          </w:tcPr>
          <w:p>
            <w:pPr>
              <w:spacing w:line="160" w:lineRule="exact"/>
            </w:pPr>
          </w:p>
        </w:tc>
        <w:tc>
          <w:tcPr>
            <w:tcW w:w="504" w:type="pct"/>
          </w:tcPr>
          <w:p>
            <w:pPr>
              <w:pStyle w:val="8"/>
              <w:spacing w:before="1" w:line="160" w:lineRule="exact"/>
              <w:ind w:left="29"/>
            </w:pPr>
            <w:r>
              <w:rPr>
                <w:spacing w:val="-1"/>
              </w:rPr>
              <w:t>PIK3CA</w:t>
            </w:r>
          </w:p>
        </w:tc>
        <w:tc>
          <w:tcPr>
            <w:tcW w:w="428" w:type="pct"/>
          </w:tcPr>
          <w:p>
            <w:pPr>
              <w:pStyle w:val="8"/>
              <w:spacing w:before="28" w:line="160" w:lineRule="exact"/>
              <w:ind w:left="32"/>
            </w:pPr>
            <w:r>
              <w:rPr>
                <w:spacing w:val="1"/>
              </w:rPr>
              <w:t>1.指导靶向治疗</w:t>
            </w:r>
          </w:p>
        </w:tc>
        <w:tc>
          <w:tcPr>
            <w:tcW w:w="809" w:type="pct"/>
          </w:tcPr>
          <w:p>
            <w:pPr>
              <w:pStyle w:val="8"/>
              <w:spacing w:before="1" w:line="160" w:lineRule="exact"/>
              <w:ind w:left="19"/>
            </w:pPr>
            <w:r>
              <w:t>Alpelisib</w:t>
            </w:r>
            <w:r>
              <w:rPr>
                <w:spacing w:val="6"/>
              </w:rPr>
              <w:t>+氟维司群(</w:t>
            </w:r>
            <w:r>
              <w:t>FDA</w:t>
            </w:r>
            <w:r>
              <w:rPr>
                <w:spacing w:val="6"/>
              </w:rPr>
              <w:t>)/</w:t>
            </w:r>
            <w:r>
              <w:t>Capivasertib</w:t>
            </w:r>
            <w:r>
              <w:rPr>
                <w:spacing w:val="6"/>
              </w:rPr>
              <w:t>+氟维司群(</w:t>
            </w:r>
            <w:r>
              <w:t>FDA</w:t>
            </w:r>
            <w:r>
              <w:rPr>
                <w:spacing w:val="6"/>
              </w:rPr>
              <w:t>)</w:t>
            </w:r>
          </w:p>
        </w:tc>
        <w:tc>
          <w:tcPr>
            <w:tcW w:w="1048" w:type="pct"/>
          </w:tcPr>
          <w:p>
            <w:pPr>
              <w:pStyle w:val="8"/>
              <w:spacing w:before="1" w:line="160" w:lineRule="exact"/>
              <w:ind w:left="35"/>
            </w:pPr>
            <w:r>
              <w:t>HR</w:t>
            </w:r>
            <w:r>
              <w:rPr>
                <w:spacing w:val="2"/>
              </w:rPr>
              <w:t>+/</w:t>
            </w:r>
            <w:r>
              <w:t>HER</w:t>
            </w:r>
            <w:r>
              <w:rPr>
                <w:spacing w:val="2"/>
              </w:rPr>
              <w:t>2-乳腺癌</w:t>
            </w:r>
          </w:p>
        </w:tc>
        <w:tc>
          <w:tcPr>
            <w:tcW w:w="524" w:type="pct"/>
          </w:tcPr>
          <w:p>
            <w:pPr>
              <w:pStyle w:val="8"/>
              <w:spacing w:before="1" w:line="160" w:lineRule="exact"/>
              <w:ind w:left="37"/>
            </w:pPr>
            <w:r>
              <w:rPr>
                <w:spacing w:val="-1"/>
              </w:rPr>
              <w:t>NCCN指南乳腺癌 （2024.V2）</w:t>
            </w:r>
          </w:p>
        </w:tc>
        <w:tc>
          <w:tcPr>
            <w:tcW w:w="303" w:type="pct"/>
          </w:tcPr>
          <w:p>
            <w:pPr>
              <w:pStyle w:val="8"/>
              <w:spacing w:before="218" w:line="160" w:lineRule="exact"/>
              <w:ind w:left="30"/>
              <w:rPr>
                <w:spacing w:val="-1"/>
              </w:rPr>
            </w:pPr>
            <w:r>
              <w:rPr>
                <w:rFonts w:hint="eastAsia"/>
                <w:lang w:eastAsia="zh-CN"/>
              </w:rPr>
              <w:t>否</w:t>
            </w:r>
          </w:p>
        </w:tc>
        <w:tc>
          <w:tcPr>
            <w:tcW w:w="549" w:type="pct"/>
          </w:tcPr>
          <w:p>
            <w:pPr>
              <w:pStyle w:val="8"/>
              <w:spacing w:before="218" w:line="160" w:lineRule="exact"/>
              <w:ind w:left="30"/>
              <w:rPr>
                <w:spacing w:val="-1"/>
              </w:rPr>
            </w:pPr>
            <w:r>
              <w:rPr>
                <w:rFonts w:hint="eastAsia"/>
                <w:lang w:eastAsia="zh-CN"/>
              </w:rPr>
              <w:t>是，福建省肿瘤医院</w:t>
            </w:r>
          </w:p>
        </w:tc>
        <w:tc>
          <w:tcPr>
            <w:tcW w:w="527" w:type="pct"/>
          </w:tcPr>
          <w:p>
            <w:pPr>
              <w:pStyle w:val="8"/>
              <w:spacing w:before="218" w:line="160" w:lineRule="exact"/>
              <w:ind w:left="30"/>
              <w:rPr>
                <w:lang w:eastAsia="zh-CN"/>
              </w:rPr>
            </w:pPr>
            <w:r>
              <w:rPr>
                <w:rFonts w:hint="eastAsia"/>
                <w:lang w:eastAsia="zh-CN"/>
              </w:rPr>
              <w:t>1100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115" w:type="pct"/>
            <w:vMerge w:val="continue"/>
            <w:tcBorders>
              <w:top w:val="nil"/>
              <w:bottom w:val="nil"/>
            </w:tcBorders>
          </w:tcPr>
          <w:p>
            <w:pPr>
              <w:spacing w:line="160" w:lineRule="exact"/>
            </w:pPr>
          </w:p>
        </w:tc>
        <w:tc>
          <w:tcPr>
            <w:tcW w:w="189" w:type="pct"/>
            <w:vMerge w:val="continue"/>
            <w:tcBorders>
              <w:top w:val="nil"/>
              <w:bottom w:val="nil"/>
            </w:tcBorders>
          </w:tcPr>
          <w:p>
            <w:pPr>
              <w:spacing w:line="160" w:lineRule="exact"/>
            </w:pPr>
          </w:p>
        </w:tc>
        <w:tc>
          <w:tcPr>
            <w:tcW w:w="504" w:type="pct"/>
          </w:tcPr>
          <w:p>
            <w:pPr>
              <w:pStyle w:val="8"/>
              <w:spacing w:before="1" w:line="160" w:lineRule="exact"/>
              <w:ind w:left="29"/>
              <w:rPr>
                <w:spacing w:val="-1"/>
              </w:rPr>
            </w:pPr>
            <w:r>
              <w:t>ERBB</w:t>
            </w:r>
            <w:r>
              <w:rPr>
                <w:spacing w:val="2"/>
              </w:rPr>
              <w:t>2(</w:t>
            </w:r>
            <w:r>
              <w:t>HER</w:t>
            </w:r>
            <w:r>
              <w:rPr>
                <w:spacing w:val="2"/>
              </w:rPr>
              <w:t>2)</w:t>
            </w:r>
          </w:p>
        </w:tc>
        <w:tc>
          <w:tcPr>
            <w:tcW w:w="428" w:type="pct"/>
          </w:tcPr>
          <w:p>
            <w:pPr>
              <w:pStyle w:val="8"/>
              <w:spacing w:before="28" w:line="160" w:lineRule="exact"/>
              <w:ind w:left="32"/>
              <w:rPr>
                <w:spacing w:val="1"/>
              </w:rPr>
            </w:pPr>
            <w:r>
              <w:rPr>
                <w:spacing w:val="1"/>
              </w:rPr>
              <w:t>1.指导靶向治疗</w:t>
            </w:r>
          </w:p>
        </w:tc>
        <w:tc>
          <w:tcPr>
            <w:tcW w:w="809" w:type="pct"/>
          </w:tcPr>
          <w:p>
            <w:pPr>
              <w:pStyle w:val="8"/>
              <w:spacing w:before="1" w:line="160" w:lineRule="exact"/>
              <w:ind w:left="19"/>
              <w:rPr>
                <w:lang w:eastAsia="zh-CN"/>
              </w:rPr>
            </w:pPr>
            <w:r>
              <w:rPr>
                <w:lang w:eastAsia="zh-CN"/>
              </w:rPr>
              <w:t>FDA</w:t>
            </w:r>
            <w:r>
              <w:rPr>
                <w:spacing w:val="2"/>
                <w:lang w:eastAsia="zh-CN"/>
              </w:rPr>
              <w:t>加速批准德曲妥珠单抗用于治疗不可切除或转移性的</w:t>
            </w:r>
            <w:r>
              <w:rPr>
                <w:lang w:eastAsia="zh-CN"/>
              </w:rPr>
              <w:t>HER</w:t>
            </w:r>
            <w:r>
              <w:rPr>
                <w:spacing w:val="2"/>
                <w:lang w:eastAsia="zh-CN"/>
              </w:rPr>
              <w:t>2阳性 （免疫组化</w:t>
            </w:r>
            <w:r>
              <w:rPr>
                <w:spacing w:val="16"/>
                <w:lang w:eastAsia="zh-CN"/>
              </w:rPr>
              <w:t xml:space="preserve"> </w:t>
            </w:r>
            <w:r>
              <w:rPr>
                <w:spacing w:val="-5"/>
                <w:lang w:eastAsia="zh-CN"/>
              </w:rPr>
              <w:t>3+） 实体瘤</w:t>
            </w:r>
          </w:p>
        </w:tc>
        <w:tc>
          <w:tcPr>
            <w:tcW w:w="1048" w:type="pct"/>
          </w:tcPr>
          <w:p>
            <w:pPr>
              <w:pStyle w:val="8"/>
              <w:spacing w:before="1" w:line="160" w:lineRule="exact"/>
              <w:ind w:left="35"/>
              <w:rPr>
                <w:lang w:eastAsia="zh-CN"/>
              </w:rPr>
            </w:pPr>
            <w:r>
              <w:rPr>
                <w:rFonts w:hint="eastAsia"/>
                <w:spacing w:val="2"/>
                <w:lang w:eastAsia="zh-CN"/>
              </w:rPr>
              <w:t>浸润性</w:t>
            </w:r>
            <w:r>
              <w:rPr>
                <w:spacing w:val="3"/>
              </w:rPr>
              <w:t>乳腺癌</w:t>
            </w:r>
          </w:p>
        </w:tc>
        <w:tc>
          <w:tcPr>
            <w:tcW w:w="524" w:type="pct"/>
          </w:tcPr>
          <w:p>
            <w:pPr>
              <w:pStyle w:val="8"/>
              <w:spacing w:before="1" w:line="160" w:lineRule="exact"/>
              <w:ind w:left="37"/>
              <w:rPr>
                <w:spacing w:val="-1"/>
                <w:lang w:eastAsia="zh-CN"/>
              </w:rPr>
            </w:pPr>
            <w:r>
              <w:rPr>
                <w:spacing w:val="-1"/>
              </w:rPr>
              <w:t>NCCN指南乳腺癌 （2024.V2）</w:t>
            </w:r>
          </w:p>
        </w:tc>
        <w:tc>
          <w:tcPr>
            <w:tcW w:w="303" w:type="pct"/>
          </w:tcPr>
          <w:p>
            <w:pPr>
              <w:pStyle w:val="8"/>
              <w:spacing w:before="218" w:line="160" w:lineRule="exact"/>
              <w:ind w:left="30"/>
              <w:rPr>
                <w:lang w:eastAsia="zh-CN"/>
              </w:rPr>
            </w:pPr>
            <w:r>
              <w:rPr>
                <w:rFonts w:hint="eastAsia"/>
                <w:lang w:eastAsia="zh-CN"/>
              </w:rPr>
              <w:t>是</w:t>
            </w:r>
          </w:p>
        </w:tc>
        <w:tc>
          <w:tcPr>
            <w:tcW w:w="549" w:type="pct"/>
          </w:tcPr>
          <w:p>
            <w:pPr>
              <w:pStyle w:val="8"/>
              <w:spacing w:before="218" w:line="160" w:lineRule="exact"/>
              <w:ind w:left="30"/>
              <w:rPr>
                <w:lang w:eastAsia="zh-CN"/>
              </w:rPr>
            </w:pPr>
          </w:p>
        </w:tc>
        <w:tc>
          <w:tcPr>
            <w:tcW w:w="527" w:type="pct"/>
          </w:tcPr>
          <w:p>
            <w:pPr>
              <w:pStyle w:val="8"/>
              <w:spacing w:before="218" w:line="160" w:lineRule="exact"/>
              <w:ind w:left="30"/>
              <w:rPr>
                <w:lang w:eastAsia="zh-CN"/>
              </w:rPr>
            </w:pPr>
            <w:r>
              <w:rPr>
                <w:rFonts w:hint="eastAsia"/>
                <w:lang w:eastAsia="zh-CN"/>
              </w:rPr>
              <w:t>972</w:t>
            </w:r>
          </w:p>
        </w:tc>
      </w:tr>
    </w:tbl>
    <w:p>
      <w:pPr>
        <w:spacing w:line="48" w:lineRule="exact"/>
      </w:pPr>
    </w:p>
    <w:p/>
    <w:p>
      <w:pPr>
        <w:sectPr>
          <w:headerReference r:id="rId3" w:type="default"/>
          <w:footerReference r:id="rId4" w:type="default"/>
          <w:pgSz w:w="16837" w:h="11905"/>
          <w:pgMar w:top="400" w:right="531" w:bottom="403" w:left="393" w:header="0" w:footer="239" w:gutter="0"/>
          <w:cols w:space="720" w:num="1"/>
        </w:sectPr>
      </w:pPr>
    </w:p>
    <w:p>
      <w:pPr>
        <w:spacing w:line="48" w:lineRule="exact"/>
      </w:pPr>
    </w:p>
    <w:tbl>
      <w:tblPr>
        <w:tblStyle w:val="7"/>
        <w:tblW w:w="470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2"/>
        <w:gridCol w:w="752"/>
        <w:gridCol w:w="1530"/>
        <w:gridCol w:w="1247"/>
        <w:gridCol w:w="3509"/>
        <w:gridCol w:w="2135"/>
        <w:gridCol w:w="2273"/>
        <w:gridCol w:w="709"/>
        <w:gridCol w:w="1139"/>
        <w:gridCol w:w="13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exact"/>
        </w:trPr>
        <w:tc>
          <w:tcPr>
            <w:tcW w:w="114" w:type="pct"/>
            <w:vAlign w:val="center"/>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序号</w:t>
            </w:r>
          </w:p>
        </w:tc>
        <w:tc>
          <w:tcPr>
            <w:tcW w:w="250" w:type="pct"/>
            <w:vAlign w:val="center"/>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病种名称</w:t>
            </w:r>
          </w:p>
        </w:tc>
        <w:tc>
          <w:tcPr>
            <w:tcW w:w="510" w:type="pct"/>
            <w:vAlign w:val="center"/>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对应检测基因</w:t>
            </w:r>
          </w:p>
        </w:tc>
        <w:tc>
          <w:tcPr>
            <w:tcW w:w="415" w:type="pct"/>
            <w:vAlign w:val="center"/>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检测意义</w:t>
            </w:r>
          </w:p>
        </w:tc>
        <w:tc>
          <w:tcPr>
            <w:tcW w:w="1170" w:type="pct"/>
            <w:vAlign w:val="center"/>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指南推荐药物</w:t>
            </w:r>
          </w:p>
        </w:tc>
        <w:tc>
          <w:tcPr>
            <w:tcW w:w="712" w:type="pct"/>
            <w:vAlign w:val="center"/>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基因检测适应症</w:t>
            </w:r>
          </w:p>
        </w:tc>
        <w:tc>
          <w:tcPr>
            <w:tcW w:w="758" w:type="pct"/>
            <w:vAlign w:val="center"/>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诊疗规范或指南依据</w:t>
            </w:r>
          </w:p>
        </w:tc>
        <w:tc>
          <w:tcPr>
            <w:tcW w:w="236" w:type="pct"/>
            <w:vAlign w:val="center"/>
          </w:tcPr>
          <w:p>
            <w:pPr>
              <w:spacing w:before="155" w:line="180" w:lineRule="exact"/>
              <w:jc w:val="both"/>
              <w:rPr>
                <w:rFonts w:ascii="黑体" w:hAnsi="黑体" w:eastAsia="黑体" w:cs="黑体"/>
                <w:b/>
                <w:bCs/>
                <w:spacing w:val="1"/>
                <w:sz w:val="14"/>
                <w:szCs w:val="14"/>
              </w:rPr>
            </w:pPr>
            <w:r>
              <w:rPr>
                <w:rFonts w:hint="eastAsia" w:ascii="黑体" w:hAnsi="黑体" w:eastAsia="黑体" w:cs="黑体"/>
                <w:b/>
                <w:bCs/>
                <w:spacing w:val="1"/>
                <w:sz w:val="14"/>
                <w:szCs w:val="14"/>
                <w:lang w:eastAsia="zh-CN"/>
              </w:rPr>
              <w:t>是否本机构开展</w:t>
            </w:r>
          </w:p>
        </w:tc>
        <w:tc>
          <w:tcPr>
            <w:tcW w:w="379" w:type="pct"/>
            <w:vAlign w:val="center"/>
          </w:tcPr>
          <w:p>
            <w:pPr>
              <w:spacing w:before="155" w:line="180" w:lineRule="exact"/>
              <w:ind w:left="192"/>
              <w:jc w:val="center"/>
              <w:rPr>
                <w:rFonts w:ascii="黑体" w:hAnsi="黑体" w:eastAsia="黑体" w:cs="黑体"/>
                <w:b/>
                <w:bCs/>
                <w:spacing w:val="1"/>
                <w:sz w:val="14"/>
                <w:szCs w:val="14"/>
                <w:lang w:eastAsia="zh-CN"/>
              </w:rPr>
            </w:pPr>
            <w:r>
              <w:rPr>
                <w:rFonts w:hint="eastAsia" w:ascii="黑体" w:hAnsi="黑体" w:eastAsia="黑体" w:cs="黑体"/>
                <w:b/>
                <w:bCs/>
                <w:spacing w:val="1"/>
                <w:sz w:val="14"/>
                <w:szCs w:val="14"/>
                <w:lang w:eastAsia="zh-CN"/>
              </w:rPr>
              <w:t>是否外送，外送机构</w:t>
            </w:r>
          </w:p>
        </w:tc>
        <w:tc>
          <w:tcPr>
            <w:tcW w:w="451" w:type="pct"/>
            <w:vAlign w:val="center"/>
          </w:tcPr>
          <w:p>
            <w:pPr>
              <w:spacing w:before="155" w:line="180" w:lineRule="exact"/>
              <w:ind w:left="192"/>
              <w:jc w:val="center"/>
              <w:rPr>
                <w:rFonts w:ascii="黑体" w:hAnsi="黑体" w:eastAsia="黑体" w:cs="黑体"/>
                <w:b/>
                <w:bCs/>
                <w:spacing w:val="1"/>
                <w:sz w:val="14"/>
                <w:szCs w:val="14"/>
                <w:lang w:eastAsia="zh-CN"/>
              </w:rPr>
            </w:pPr>
            <w:r>
              <w:rPr>
                <w:rFonts w:hint="eastAsia" w:ascii="黑体" w:hAnsi="黑体" w:eastAsia="黑体" w:cs="黑体"/>
                <w:b/>
                <w:bCs/>
                <w:spacing w:val="1"/>
                <w:sz w:val="14"/>
                <w:szCs w:val="14"/>
                <w:lang w:eastAsia="zh-CN"/>
              </w:rPr>
              <w:t>价格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exact"/>
        </w:trPr>
        <w:tc>
          <w:tcPr>
            <w:tcW w:w="114" w:type="pct"/>
            <w:vMerge w:val="restart"/>
            <w:tcBorders>
              <w:bottom w:val="nil"/>
            </w:tcBorders>
            <w:vAlign w:val="center"/>
          </w:tcPr>
          <w:p>
            <w:pPr>
              <w:spacing w:line="466" w:lineRule="auto"/>
              <w:jc w:val="center"/>
            </w:pPr>
          </w:p>
          <w:p>
            <w:pPr>
              <w:pStyle w:val="8"/>
              <w:spacing w:before="60" w:line="175" w:lineRule="auto"/>
              <w:ind w:left="28"/>
              <w:jc w:val="center"/>
            </w:pPr>
            <w:r>
              <w:t>7</w:t>
            </w:r>
          </w:p>
        </w:tc>
        <w:tc>
          <w:tcPr>
            <w:tcW w:w="250" w:type="pct"/>
            <w:vMerge w:val="restart"/>
            <w:tcBorders>
              <w:bottom w:val="nil"/>
            </w:tcBorders>
            <w:vAlign w:val="center"/>
          </w:tcPr>
          <w:p>
            <w:pPr>
              <w:spacing w:line="455" w:lineRule="auto"/>
              <w:jc w:val="center"/>
            </w:pPr>
          </w:p>
          <w:p>
            <w:pPr>
              <w:pStyle w:val="8"/>
              <w:spacing w:before="60" w:line="187" w:lineRule="auto"/>
              <w:ind w:left="31"/>
              <w:jc w:val="center"/>
            </w:pPr>
            <w:r>
              <w:rPr>
                <w:spacing w:val="1"/>
              </w:rPr>
              <w:t>胃肠道间质瘤</w:t>
            </w:r>
          </w:p>
        </w:tc>
        <w:tc>
          <w:tcPr>
            <w:tcW w:w="510" w:type="pct"/>
            <w:vMerge w:val="restart"/>
            <w:tcBorders>
              <w:bottom w:val="nil"/>
            </w:tcBorders>
            <w:vAlign w:val="center"/>
          </w:tcPr>
          <w:p>
            <w:pPr>
              <w:pStyle w:val="8"/>
              <w:spacing w:before="92" w:line="232" w:lineRule="auto"/>
              <w:ind w:left="29"/>
              <w:jc w:val="center"/>
            </w:pPr>
            <w:r>
              <w:t>KIT</w:t>
            </w:r>
            <w:r>
              <w:rPr>
                <w:spacing w:val="4"/>
              </w:rPr>
              <w:t>、</w:t>
            </w:r>
            <w:r>
              <w:t>PDGFRA</w:t>
            </w:r>
            <w:r>
              <w:rPr>
                <w:spacing w:val="4"/>
              </w:rPr>
              <w:t>基因</w:t>
            </w:r>
          </w:p>
        </w:tc>
        <w:tc>
          <w:tcPr>
            <w:tcW w:w="415" w:type="pct"/>
            <w:vAlign w:val="center"/>
          </w:tcPr>
          <w:p>
            <w:pPr>
              <w:pStyle w:val="8"/>
              <w:spacing w:before="21" w:line="157" w:lineRule="auto"/>
              <w:ind w:left="32"/>
              <w:jc w:val="center"/>
            </w:pPr>
            <w:r>
              <w:rPr>
                <w:spacing w:val="1"/>
              </w:rPr>
              <w:t>1.指导靶向治疗</w:t>
            </w:r>
          </w:p>
        </w:tc>
        <w:tc>
          <w:tcPr>
            <w:tcW w:w="1170" w:type="pct"/>
            <w:vAlign w:val="center"/>
          </w:tcPr>
          <w:p>
            <w:pPr>
              <w:pStyle w:val="8"/>
              <w:spacing w:before="21" w:line="157" w:lineRule="auto"/>
              <w:ind w:left="19"/>
              <w:jc w:val="center"/>
            </w:pPr>
            <w:r>
              <w:rPr>
                <w:spacing w:val="3"/>
              </w:rPr>
              <w:t>伊马替尼、阿伐替尼</w:t>
            </w:r>
          </w:p>
        </w:tc>
        <w:tc>
          <w:tcPr>
            <w:tcW w:w="712" w:type="pct"/>
            <w:vAlign w:val="center"/>
          </w:tcPr>
          <w:p>
            <w:pPr>
              <w:pStyle w:val="8"/>
              <w:spacing w:before="21" w:line="157" w:lineRule="auto"/>
              <w:ind w:left="24"/>
              <w:jc w:val="center"/>
            </w:pPr>
            <w:r>
              <w:rPr>
                <w:spacing w:val="3"/>
              </w:rPr>
              <w:t>经典型胃肠间质瘤</w:t>
            </w:r>
          </w:p>
        </w:tc>
        <w:tc>
          <w:tcPr>
            <w:tcW w:w="758" w:type="pct"/>
            <w:vAlign w:val="center"/>
          </w:tcPr>
          <w:p>
            <w:pPr>
              <w:pStyle w:val="8"/>
              <w:spacing w:before="21" w:line="157" w:lineRule="auto"/>
              <w:ind w:left="30"/>
              <w:jc w:val="center"/>
              <w:rPr>
                <w:lang w:eastAsia="zh-CN"/>
              </w:rPr>
            </w:pPr>
            <w:r>
              <w:rPr>
                <w:lang w:eastAsia="zh-CN"/>
              </w:rPr>
              <w:t>CSCO</w:t>
            </w:r>
            <w:r>
              <w:rPr>
                <w:spacing w:val="3"/>
                <w:lang w:eastAsia="zh-CN"/>
              </w:rPr>
              <w:t>胃肠间质瘤诊疗指南2024</w:t>
            </w:r>
          </w:p>
        </w:tc>
        <w:tc>
          <w:tcPr>
            <w:tcW w:w="236" w:type="pct"/>
            <w:vMerge w:val="restart"/>
            <w:vAlign w:val="center"/>
          </w:tcPr>
          <w:p>
            <w:pPr>
              <w:pStyle w:val="8"/>
              <w:spacing w:before="21" w:line="157" w:lineRule="auto"/>
              <w:ind w:left="30"/>
              <w:jc w:val="center"/>
              <w:rPr>
                <w:lang w:eastAsia="zh-CN"/>
              </w:rPr>
            </w:pPr>
            <w:r>
              <w:rPr>
                <w:rFonts w:hint="eastAsia"/>
                <w:lang w:eastAsia="zh-CN"/>
              </w:rPr>
              <w:t>否</w:t>
            </w:r>
          </w:p>
          <w:p>
            <w:pPr>
              <w:pStyle w:val="8"/>
              <w:spacing w:before="21" w:line="157" w:lineRule="auto"/>
              <w:ind w:left="30"/>
              <w:jc w:val="center"/>
              <w:rPr>
                <w:lang w:eastAsia="zh-CN"/>
              </w:rPr>
            </w:pPr>
          </w:p>
        </w:tc>
        <w:tc>
          <w:tcPr>
            <w:tcW w:w="379" w:type="pct"/>
            <w:vMerge w:val="restart"/>
            <w:vAlign w:val="center"/>
          </w:tcPr>
          <w:p>
            <w:pPr>
              <w:pStyle w:val="8"/>
              <w:spacing w:before="21" w:line="157" w:lineRule="auto"/>
              <w:ind w:left="30"/>
              <w:jc w:val="center"/>
              <w:rPr>
                <w:lang w:eastAsia="zh-CN"/>
              </w:rPr>
            </w:pPr>
            <w:r>
              <w:rPr>
                <w:rFonts w:hint="eastAsia"/>
                <w:lang w:eastAsia="zh-CN"/>
              </w:rPr>
              <w:t>是，福建省肿瘤医院</w:t>
            </w:r>
          </w:p>
          <w:p>
            <w:pPr>
              <w:pStyle w:val="8"/>
              <w:spacing w:before="21" w:line="157" w:lineRule="auto"/>
              <w:ind w:left="30"/>
              <w:jc w:val="center"/>
            </w:pPr>
          </w:p>
        </w:tc>
        <w:tc>
          <w:tcPr>
            <w:tcW w:w="451" w:type="pct"/>
            <w:vMerge w:val="restart"/>
            <w:vAlign w:val="center"/>
          </w:tcPr>
          <w:p>
            <w:pPr>
              <w:pStyle w:val="8"/>
              <w:spacing w:before="21" w:line="157" w:lineRule="auto"/>
              <w:ind w:left="30"/>
              <w:jc w:val="both"/>
              <w:rPr>
                <w:lang w:eastAsia="zh-CN"/>
              </w:rPr>
            </w:pPr>
            <w:r>
              <w:rPr>
                <w:rFonts w:hint="eastAsia"/>
                <w:lang w:eastAsia="zh-CN"/>
              </w:rPr>
              <w:t>1500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exact"/>
        </w:trPr>
        <w:tc>
          <w:tcPr>
            <w:tcW w:w="114" w:type="pct"/>
            <w:vMerge w:val="continue"/>
            <w:tcBorders>
              <w:top w:val="nil"/>
              <w:bottom w:val="nil"/>
            </w:tcBorders>
            <w:vAlign w:val="center"/>
          </w:tcPr>
          <w:p>
            <w:pPr>
              <w:jc w:val="center"/>
            </w:pPr>
          </w:p>
        </w:tc>
        <w:tc>
          <w:tcPr>
            <w:tcW w:w="250" w:type="pct"/>
            <w:vMerge w:val="continue"/>
            <w:tcBorders>
              <w:top w:val="nil"/>
              <w:bottom w:val="nil"/>
            </w:tcBorders>
            <w:vAlign w:val="center"/>
          </w:tcPr>
          <w:p>
            <w:pPr>
              <w:jc w:val="center"/>
            </w:pPr>
          </w:p>
        </w:tc>
        <w:tc>
          <w:tcPr>
            <w:tcW w:w="510" w:type="pct"/>
            <w:vMerge w:val="continue"/>
            <w:tcBorders>
              <w:top w:val="nil"/>
            </w:tcBorders>
            <w:vAlign w:val="center"/>
          </w:tcPr>
          <w:p>
            <w:pPr>
              <w:jc w:val="center"/>
            </w:pPr>
          </w:p>
        </w:tc>
        <w:tc>
          <w:tcPr>
            <w:tcW w:w="415" w:type="pct"/>
            <w:vAlign w:val="center"/>
          </w:tcPr>
          <w:p>
            <w:pPr>
              <w:pStyle w:val="8"/>
              <w:spacing w:before="21" w:line="157" w:lineRule="auto"/>
              <w:ind w:left="27"/>
              <w:jc w:val="center"/>
            </w:pPr>
            <w:r>
              <w:rPr>
                <w:spacing w:val="2"/>
              </w:rPr>
              <w:t>3.诊断和鉴别诊断</w:t>
            </w:r>
          </w:p>
        </w:tc>
        <w:tc>
          <w:tcPr>
            <w:tcW w:w="1170" w:type="pct"/>
            <w:vAlign w:val="center"/>
          </w:tcPr>
          <w:p>
            <w:pPr>
              <w:pStyle w:val="8"/>
              <w:spacing w:line="178" w:lineRule="auto"/>
              <w:ind w:left="15"/>
              <w:jc w:val="center"/>
            </w:pPr>
            <w:r>
              <w:rPr>
                <w:spacing w:val="5"/>
              </w:rPr>
              <w:t>/</w:t>
            </w:r>
          </w:p>
        </w:tc>
        <w:tc>
          <w:tcPr>
            <w:tcW w:w="712" w:type="pct"/>
            <w:vAlign w:val="center"/>
          </w:tcPr>
          <w:p>
            <w:pPr>
              <w:pStyle w:val="8"/>
              <w:spacing w:before="21" w:line="157" w:lineRule="auto"/>
              <w:ind w:left="23"/>
              <w:jc w:val="center"/>
              <w:rPr>
                <w:lang w:eastAsia="zh-CN"/>
              </w:rPr>
            </w:pPr>
            <w:r>
              <w:rPr>
                <w:spacing w:val="3"/>
                <w:lang w:eastAsia="zh-CN"/>
              </w:rPr>
              <w:t>继发耐药突变胃肠间质瘤</w:t>
            </w:r>
          </w:p>
        </w:tc>
        <w:tc>
          <w:tcPr>
            <w:tcW w:w="758" w:type="pct"/>
            <w:vAlign w:val="center"/>
          </w:tcPr>
          <w:p>
            <w:pPr>
              <w:pStyle w:val="8"/>
              <w:spacing w:before="21" w:line="157" w:lineRule="auto"/>
              <w:ind w:left="30"/>
              <w:jc w:val="center"/>
              <w:rPr>
                <w:lang w:eastAsia="zh-CN"/>
              </w:rPr>
            </w:pPr>
            <w:r>
              <w:rPr>
                <w:lang w:eastAsia="zh-CN"/>
              </w:rPr>
              <w:t>CSCO</w:t>
            </w:r>
            <w:r>
              <w:rPr>
                <w:spacing w:val="3"/>
                <w:lang w:eastAsia="zh-CN"/>
              </w:rPr>
              <w:t>胃肠间质瘤诊疗指南2024</w:t>
            </w:r>
          </w:p>
        </w:tc>
        <w:tc>
          <w:tcPr>
            <w:tcW w:w="236" w:type="pct"/>
            <w:vMerge w:val="continue"/>
            <w:tcBorders>
              <w:bottom w:val="single" w:color="auto" w:sz="4" w:space="0"/>
            </w:tcBorders>
            <w:vAlign w:val="center"/>
          </w:tcPr>
          <w:p>
            <w:pPr>
              <w:pStyle w:val="8"/>
              <w:spacing w:before="21" w:line="157" w:lineRule="auto"/>
              <w:ind w:left="30"/>
              <w:jc w:val="center"/>
              <w:rPr>
                <w:lang w:eastAsia="zh-CN"/>
              </w:rPr>
            </w:pPr>
          </w:p>
        </w:tc>
        <w:tc>
          <w:tcPr>
            <w:tcW w:w="379" w:type="pct"/>
            <w:vMerge w:val="continue"/>
            <w:tcBorders>
              <w:bottom w:val="single" w:color="auto" w:sz="4" w:space="0"/>
            </w:tcBorders>
            <w:vAlign w:val="center"/>
          </w:tcPr>
          <w:p>
            <w:pPr>
              <w:pStyle w:val="8"/>
              <w:spacing w:before="21" w:line="157" w:lineRule="auto"/>
              <w:ind w:left="30"/>
              <w:jc w:val="center"/>
              <w:rPr>
                <w:lang w:eastAsia="zh-CN"/>
              </w:rPr>
            </w:pPr>
          </w:p>
        </w:tc>
        <w:tc>
          <w:tcPr>
            <w:tcW w:w="451" w:type="pct"/>
            <w:vMerge w:val="continue"/>
            <w:tcBorders>
              <w:bottom w:val="single" w:color="auto" w:sz="4" w:space="0"/>
            </w:tcBorders>
            <w:vAlign w:val="center"/>
          </w:tcPr>
          <w:p>
            <w:pPr>
              <w:pStyle w:val="8"/>
              <w:spacing w:before="21" w:line="157" w:lineRule="auto"/>
              <w:ind w:left="30"/>
              <w:jc w:val="center"/>
              <w:rPr>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exact"/>
        </w:trPr>
        <w:tc>
          <w:tcPr>
            <w:tcW w:w="114" w:type="pct"/>
            <w:vMerge w:val="continue"/>
            <w:tcBorders>
              <w:top w:val="nil"/>
              <w:bottom w:val="nil"/>
            </w:tcBorders>
            <w:vAlign w:val="center"/>
          </w:tcPr>
          <w:p>
            <w:pPr>
              <w:jc w:val="center"/>
              <w:rPr>
                <w:lang w:eastAsia="zh-CN"/>
              </w:rPr>
            </w:pPr>
          </w:p>
        </w:tc>
        <w:tc>
          <w:tcPr>
            <w:tcW w:w="250" w:type="pct"/>
            <w:vMerge w:val="continue"/>
            <w:tcBorders>
              <w:top w:val="nil"/>
              <w:bottom w:val="nil"/>
            </w:tcBorders>
            <w:vAlign w:val="center"/>
          </w:tcPr>
          <w:p>
            <w:pPr>
              <w:jc w:val="center"/>
              <w:rPr>
                <w:lang w:eastAsia="zh-CN"/>
              </w:rPr>
            </w:pPr>
          </w:p>
        </w:tc>
        <w:tc>
          <w:tcPr>
            <w:tcW w:w="510" w:type="pct"/>
            <w:vAlign w:val="center"/>
          </w:tcPr>
          <w:p>
            <w:pPr>
              <w:pStyle w:val="8"/>
              <w:spacing w:before="31" w:line="148" w:lineRule="exact"/>
              <w:ind w:left="29"/>
              <w:jc w:val="center"/>
            </w:pPr>
            <w:r>
              <w:rPr>
                <w:spacing w:val="-2"/>
                <w:position w:val="-1"/>
              </w:rPr>
              <w:t>KRAS</w:t>
            </w:r>
          </w:p>
        </w:tc>
        <w:tc>
          <w:tcPr>
            <w:tcW w:w="415" w:type="pct"/>
            <w:vMerge w:val="restart"/>
            <w:tcBorders>
              <w:top w:val="nil"/>
            </w:tcBorders>
            <w:vAlign w:val="center"/>
          </w:tcPr>
          <w:p>
            <w:pPr>
              <w:jc w:val="center"/>
            </w:pPr>
          </w:p>
        </w:tc>
        <w:tc>
          <w:tcPr>
            <w:tcW w:w="1170" w:type="pct"/>
            <w:vMerge w:val="restart"/>
            <w:tcBorders>
              <w:top w:val="nil"/>
            </w:tcBorders>
            <w:vAlign w:val="center"/>
          </w:tcPr>
          <w:p>
            <w:pPr>
              <w:jc w:val="center"/>
            </w:pPr>
          </w:p>
        </w:tc>
        <w:tc>
          <w:tcPr>
            <w:tcW w:w="712" w:type="pct"/>
            <w:vMerge w:val="restart"/>
            <w:tcBorders>
              <w:top w:val="nil"/>
            </w:tcBorders>
            <w:vAlign w:val="center"/>
          </w:tcPr>
          <w:p>
            <w:pPr>
              <w:jc w:val="center"/>
            </w:pPr>
          </w:p>
        </w:tc>
        <w:tc>
          <w:tcPr>
            <w:tcW w:w="758" w:type="pct"/>
            <w:vMerge w:val="restart"/>
            <w:tcBorders>
              <w:top w:val="nil"/>
              <w:right w:val="single" w:color="auto" w:sz="4" w:space="0"/>
            </w:tcBorders>
            <w:vAlign w:val="center"/>
          </w:tcPr>
          <w:p>
            <w:pPr>
              <w:jc w:val="center"/>
            </w:pPr>
          </w:p>
        </w:tc>
        <w:tc>
          <w:tcPr>
            <w:tcW w:w="236" w:type="pct"/>
            <w:tcBorders>
              <w:top w:val="single" w:color="auto" w:sz="4" w:space="0"/>
              <w:left w:val="single" w:color="auto" w:sz="4" w:space="0"/>
              <w:bottom w:val="single" w:color="auto" w:sz="4" w:space="0"/>
              <w:right w:val="single" w:color="auto" w:sz="4" w:space="0"/>
            </w:tcBorders>
            <w:vAlign w:val="center"/>
          </w:tcPr>
          <w:p>
            <w:pPr>
              <w:pStyle w:val="8"/>
              <w:spacing w:before="21" w:line="157" w:lineRule="auto"/>
              <w:ind w:left="30"/>
              <w:jc w:val="center"/>
              <w:rPr>
                <w:rFonts w:ascii="Arial"/>
                <w:sz w:val="21"/>
              </w:rPr>
            </w:pPr>
            <w:r>
              <w:rPr>
                <w:rFonts w:hint="eastAsia"/>
                <w:lang w:eastAsia="zh-CN"/>
              </w:rPr>
              <w:t>否</w:t>
            </w:r>
          </w:p>
        </w:tc>
        <w:tc>
          <w:tcPr>
            <w:tcW w:w="379" w:type="pct"/>
            <w:tcBorders>
              <w:top w:val="single" w:color="auto" w:sz="4" w:space="0"/>
              <w:left w:val="single" w:color="auto" w:sz="4" w:space="0"/>
              <w:bottom w:val="single" w:color="auto" w:sz="4" w:space="0"/>
              <w:right w:val="single" w:color="auto" w:sz="4" w:space="0"/>
            </w:tcBorders>
            <w:vAlign w:val="center"/>
          </w:tcPr>
          <w:p>
            <w:pPr>
              <w:pStyle w:val="8"/>
              <w:spacing w:before="21" w:line="157" w:lineRule="auto"/>
              <w:ind w:left="30"/>
              <w:jc w:val="center"/>
              <w:rPr>
                <w:rFonts w:ascii="Arial"/>
                <w:sz w:val="21"/>
              </w:rPr>
            </w:pPr>
            <w:r>
              <w:rPr>
                <w:rFonts w:hint="eastAsia"/>
                <w:lang w:eastAsia="zh-CN"/>
              </w:rPr>
              <w:t>是，福建省肿瘤医院</w:t>
            </w:r>
          </w:p>
        </w:tc>
        <w:tc>
          <w:tcPr>
            <w:tcW w:w="451" w:type="pct"/>
            <w:tcBorders>
              <w:top w:val="single" w:color="auto" w:sz="4" w:space="0"/>
              <w:left w:val="single" w:color="auto" w:sz="4" w:space="0"/>
              <w:bottom w:val="single" w:color="auto" w:sz="4" w:space="0"/>
              <w:right w:val="single" w:color="auto" w:sz="4" w:space="0"/>
            </w:tcBorders>
          </w:tcPr>
          <w:p>
            <w:pPr>
              <w:pStyle w:val="8"/>
              <w:spacing w:before="218" w:line="160" w:lineRule="exact"/>
              <w:ind w:left="30"/>
              <w:rPr>
                <w:lang w:eastAsia="zh-CN"/>
              </w:rPr>
            </w:pPr>
            <w:r>
              <w:rPr>
                <w:rFonts w:hint="eastAsia"/>
                <w:lang w:eastAsia="zh-CN"/>
              </w:rPr>
              <w:t>1100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exact"/>
        </w:trPr>
        <w:tc>
          <w:tcPr>
            <w:tcW w:w="114" w:type="pct"/>
            <w:vMerge w:val="continue"/>
            <w:tcBorders>
              <w:top w:val="nil"/>
            </w:tcBorders>
            <w:vAlign w:val="center"/>
          </w:tcPr>
          <w:p>
            <w:pPr>
              <w:jc w:val="center"/>
            </w:pPr>
          </w:p>
        </w:tc>
        <w:tc>
          <w:tcPr>
            <w:tcW w:w="250" w:type="pct"/>
            <w:vMerge w:val="continue"/>
            <w:tcBorders>
              <w:top w:val="nil"/>
            </w:tcBorders>
            <w:vAlign w:val="center"/>
          </w:tcPr>
          <w:p>
            <w:pPr>
              <w:jc w:val="center"/>
            </w:pPr>
          </w:p>
        </w:tc>
        <w:tc>
          <w:tcPr>
            <w:tcW w:w="510" w:type="pct"/>
            <w:vAlign w:val="center"/>
          </w:tcPr>
          <w:p>
            <w:pPr>
              <w:pStyle w:val="8"/>
              <w:spacing w:before="22" w:line="157" w:lineRule="exact"/>
              <w:ind w:left="29"/>
              <w:jc w:val="center"/>
            </w:pPr>
            <w:r>
              <w:t>FGFR</w:t>
            </w:r>
            <w:r>
              <w:rPr>
                <w:spacing w:val="1"/>
              </w:rPr>
              <w:t>基因</w:t>
            </w:r>
          </w:p>
        </w:tc>
        <w:tc>
          <w:tcPr>
            <w:tcW w:w="415" w:type="pct"/>
            <w:vMerge w:val="continue"/>
            <w:tcBorders>
              <w:top w:val="nil"/>
            </w:tcBorders>
            <w:vAlign w:val="center"/>
          </w:tcPr>
          <w:p>
            <w:pPr>
              <w:jc w:val="center"/>
            </w:pPr>
          </w:p>
        </w:tc>
        <w:tc>
          <w:tcPr>
            <w:tcW w:w="1170" w:type="pct"/>
            <w:vMerge w:val="continue"/>
            <w:tcBorders>
              <w:top w:val="nil"/>
            </w:tcBorders>
            <w:vAlign w:val="center"/>
          </w:tcPr>
          <w:p>
            <w:pPr>
              <w:jc w:val="center"/>
            </w:pPr>
          </w:p>
        </w:tc>
        <w:tc>
          <w:tcPr>
            <w:tcW w:w="712" w:type="pct"/>
            <w:vMerge w:val="continue"/>
            <w:tcBorders>
              <w:top w:val="nil"/>
            </w:tcBorders>
            <w:vAlign w:val="center"/>
          </w:tcPr>
          <w:p>
            <w:pPr>
              <w:jc w:val="center"/>
            </w:pPr>
          </w:p>
        </w:tc>
        <w:tc>
          <w:tcPr>
            <w:tcW w:w="758" w:type="pct"/>
            <w:vMerge w:val="continue"/>
            <w:tcBorders>
              <w:top w:val="nil"/>
              <w:right w:val="single" w:color="auto" w:sz="4" w:space="0"/>
            </w:tcBorders>
            <w:vAlign w:val="center"/>
          </w:tcPr>
          <w:p>
            <w:pPr>
              <w:jc w:val="center"/>
            </w:pPr>
          </w:p>
        </w:tc>
        <w:tc>
          <w:tcPr>
            <w:tcW w:w="236" w:type="pct"/>
            <w:tcBorders>
              <w:top w:val="single" w:color="auto" w:sz="4" w:space="0"/>
              <w:left w:val="single" w:color="auto" w:sz="4" w:space="0"/>
              <w:bottom w:val="single" w:color="auto" w:sz="4" w:space="0"/>
              <w:right w:val="single" w:color="auto" w:sz="4" w:space="0"/>
            </w:tcBorders>
            <w:vAlign w:val="center"/>
          </w:tcPr>
          <w:p>
            <w:pPr>
              <w:pStyle w:val="8"/>
              <w:spacing w:before="21" w:line="157" w:lineRule="auto"/>
              <w:ind w:left="30"/>
              <w:jc w:val="center"/>
              <w:rPr>
                <w:rFonts w:ascii="Arial"/>
                <w:sz w:val="21"/>
              </w:rPr>
            </w:pPr>
            <w:r>
              <w:rPr>
                <w:rFonts w:hint="eastAsia"/>
                <w:lang w:eastAsia="zh-CN"/>
              </w:rPr>
              <w:t>否</w:t>
            </w:r>
          </w:p>
        </w:tc>
        <w:tc>
          <w:tcPr>
            <w:tcW w:w="379" w:type="pct"/>
            <w:tcBorders>
              <w:top w:val="single" w:color="auto" w:sz="4" w:space="0"/>
              <w:left w:val="single" w:color="auto" w:sz="4" w:space="0"/>
              <w:bottom w:val="single" w:color="auto" w:sz="4" w:space="0"/>
              <w:right w:val="single" w:color="auto" w:sz="4" w:space="0"/>
            </w:tcBorders>
            <w:vAlign w:val="center"/>
          </w:tcPr>
          <w:p>
            <w:pPr>
              <w:pStyle w:val="8"/>
              <w:spacing w:before="21" w:line="157" w:lineRule="auto"/>
              <w:ind w:left="30"/>
              <w:jc w:val="center"/>
              <w:rPr>
                <w:rFonts w:ascii="Arial"/>
                <w:sz w:val="21"/>
              </w:rPr>
            </w:pPr>
            <w:r>
              <w:rPr>
                <w:rFonts w:hint="eastAsia"/>
                <w:lang w:eastAsia="zh-CN"/>
              </w:rPr>
              <w:t>是，福建省肿瘤医院</w:t>
            </w:r>
          </w:p>
        </w:tc>
        <w:tc>
          <w:tcPr>
            <w:tcW w:w="451" w:type="pct"/>
            <w:tcBorders>
              <w:top w:val="single" w:color="auto" w:sz="4" w:space="0"/>
              <w:left w:val="single" w:color="auto" w:sz="4" w:space="0"/>
              <w:bottom w:val="single" w:color="auto" w:sz="4" w:space="0"/>
              <w:right w:val="single" w:color="auto" w:sz="4" w:space="0"/>
            </w:tcBorders>
          </w:tcPr>
          <w:p>
            <w:pPr>
              <w:pStyle w:val="8"/>
              <w:spacing w:before="218" w:line="160" w:lineRule="exact"/>
              <w:ind w:left="30"/>
              <w:rPr>
                <w:rFonts w:hint="default"/>
                <w:lang w:val="en-US"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179" w:hRule="exact"/>
        </w:trPr>
        <w:tc>
          <w:tcPr>
            <w:tcW w:w="114" w:type="pct"/>
            <w:vMerge w:val="restart"/>
            <w:vAlign w:val="center"/>
          </w:tcPr>
          <w:p>
            <w:pPr>
              <w:spacing w:line="262" w:lineRule="auto"/>
              <w:jc w:val="center"/>
            </w:pPr>
          </w:p>
          <w:p>
            <w:pPr>
              <w:spacing w:line="262" w:lineRule="auto"/>
              <w:jc w:val="center"/>
            </w:pPr>
          </w:p>
          <w:p>
            <w:pPr>
              <w:spacing w:line="262" w:lineRule="auto"/>
              <w:jc w:val="center"/>
            </w:pPr>
          </w:p>
          <w:p>
            <w:pPr>
              <w:spacing w:line="262" w:lineRule="auto"/>
              <w:jc w:val="center"/>
            </w:pPr>
          </w:p>
          <w:p>
            <w:pPr>
              <w:spacing w:line="262" w:lineRule="auto"/>
              <w:jc w:val="center"/>
            </w:pPr>
          </w:p>
          <w:p>
            <w:pPr>
              <w:spacing w:line="262" w:lineRule="auto"/>
              <w:jc w:val="center"/>
            </w:pPr>
          </w:p>
          <w:p>
            <w:pPr>
              <w:spacing w:line="263" w:lineRule="auto"/>
              <w:jc w:val="center"/>
            </w:pPr>
          </w:p>
          <w:p>
            <w:pPr>
              <w:pStyle w:val="8"/>
              <w:spacing w:before="60" w:line="176" w:lineRule="auto"/>
              <w:ind w:left="28"/>
              <w:jc w:val="center"/>
            </w:pPr>
            <w:r>
              <w:t>8</w:t>
            </w:r>
          </w:p>
        </w:tc>
        <w:tc>
          <w:tcPr>
            <w:tcW w:w="250" w:type="pct"/>
            <w:vMerge w:val="restart"/>
            <w:vAlign w:val="center"/>
          </w:tcPr>
          <w:p>
            <w:pPr>
              <w:spacing w:line="260" w:lineRule="auto"/>
              <w:jc w:val="center"/>
            </w:pPr>
          </w:p>
          <w:p>
            <w:pPr>
              <w:spacing w:line="260" w:lineRule="auto"/>
              <w:jc w:val="center"/>
            </w:pPr>
          </w:p>
          <w:p>
            <w:pPr>
              <w:spacing w:line="261" w:lineRule="auto"/>
              <w:jc w:val="center"/>
            </w:pPr>
          </w:p>
          <w:p>
            <w:pPr>
              <w:spacing w:line="261" w:lineRule="auto"/>
              <w:jc w:val="center"/>
            </w:pPr>
          </w:p>
          <w:p>
            <w:pPr>
              <w:spacing w:line="261" w:lineRule="auto"/>
              <w:jc w:val="center"/>
            </w:pPr>
          </w:p>
          <w:p>
            <w:pPr>
              <w:spacing w:line="261" w:lineRule="auto"/>
              <w:jc w:val="center"/>
            </w:pPr>
          </w:p>
          <w:p>
            <w:pPr>
              <w:spacing w:line="261" w:lineRule="auto"/>
              <w:jc w:val="center"/>
            </w:pPr>
          </w:p>
          <w:p>
            <w:pPr>
              <w:pStyle w:val="8"/>
              <w:spacing w:before="60" w:line="187" w:lineRule="auto"/>
              <w:ind w:left="15"/>
              <w:jc w:val="center"/>
            </w:pPr>
            <w:r>
              <w:rPr>
                <w:spacing w:val="3"/>
              </w:rPr>
              <w:t>肠癌</w:t>
            </w:r>
          </w:p>
        </w:tc>
        <w:tc>
          <w:tcPr>
            <w:tcW w:w="510" w:type="pct"/>
            <w:vAlign w:val="center"/>
          </w:tcPr>
          <w:p>
            <w:pPr>
              <w:pStyle w:val="8"/>
              <w:spacing w:before="99" w:line="177" w:lineRule="auto"/>
              <w:ind w:left="29"/>
              <w:jc w:val="center"/>
            </w:pPr>
            <w:r>
              <w:rPr>
                <w:spacing w:val="-2"/>
              </w:rPr>
              <w:t>KRAS</w:t>
            </w:r>
          </w:p>
        </w:tc>
        <w:tc>
          <w:tcPr>
            <w:tcW w:w="415" w:type="pct"/>
            <w:vAlign w:val="center"/>
          </w:tcPr>
          <w:p>
            <w:pPr>
              <w:pStyle w:val="8"/>
              <w:spacing w:before="89" w:line="187" w:lineRule="auto"/>
              <w:ind w:left="32"/>
              <w:jc w:val="center"/>
            </w:pPr>
            <w:r>
              <w:rPr>
                <w:spacing w:val="1"/>
              </w:rPr>
              <w:t>1.指导靶向治疗</w:t>
            </w:r>
          </w:p>
        </w:tc>
        <w:tc>
          <w:tcPr>
            <w:tcW w:w="1170" w:type="pct"/>
            <w:vMerge w:val="restart"/>
            <w:tcBorders>
              <w:bottom w:val="nil"/>
            </w:tcBorders>
            <w:vAlign w:val="center"/>
          </w:tcPr>
          <w:p>
            <w:pPr>
              <w:pStyle w:val="8"/>
              <w:spacing w:before="42" w:line="198" w:lineRule="auto"/>
              <w:ind w:left="19" w:right="83" w:firstLine="12"/>
              <w:jc w:val="center"/>
              <w:rPr>
                <w:lang w:eastAsia="zh-CN"/>
              </w:rPr>
            </w:pPr>
            <w:r>
              <w:rPr>
                <w:lang w:eastAsia="zh-CN"/>
              </w:rPr>
              <w:t>KRAS</w:t>
            </w:r>
            <w:r>
              <w:rPr>
                <w:spacing w:val="3"/>
                <w:lang w:eastAsia="zh-CN"/>
              </w:rPr>
              <w:t xml:space="preserve"> 和</w:t>
            </w:r>
            <w:r>
              <w:rPr>
                <w:spacing w:val="21"/>
                <w:lang w:eastAsia="zh-CN"/>
              </w:rPr>
              <w:t xml:space="preserve"> </w:t>
            </w:r>
            <w:r>
              <w:rPr>
                <w:lang w:eastAsia="zh-CN"/>
              </w:rPr>
              <w:t>NRAS</w:t>
            </w:r>
            <w:r>
              <w:rPr>
                <w:spacing w:val="3"/>
                <w:lang w:eastAsia="zh-CN"/>
              </w:rPr>
              <w:t xml:space="preserve"> 基因 2,3,4 号外显子的已知突变的结直肠癌患者不推荐西妥昔</w:t>
            </w:r>
            <w:r>
              <w:rPr>
                <w:lang w:eastAsia="zh-CN"/>
              </w:rPr>
              <w:t xml:space="preserve">   </w:t>
            </w:r>
            <w:r>
              <w:rPr>
                <w:spacing w:val="1"/>
                <w:lang w:eastAsia="zh-CN"/>
              </w:rPr>
              <w:t>单抗和帕尼单抗， 推荐贝伐珠单抗等； 推荐西妥昔单抗和帕尼单抗用于</w:t>
            </w:r>
            <w:r>
              <w:rPr>
                <w:spacing w:val="16"/>
                <w:lang w:eastAsia="zh-CN"/>
              </w:rPr>
              <w:t xml:space="preserve"> </w:t>
            </w:r>
            <w:r>
              <w:rPr>
                <w:lang w:eastAsia="zh-CN"/>
              </w:rPr>
              <w:t>RAS</w:t>
            </w:r>
            <w:r>
              <w:rPr>
                <w:spacing w:val="1"/>
                <w:lang w:eastAsia="zh-CN"/>
              </w:rPr>
              <w:t xml:space="preserve"> 野</w:t>
            </w:r>
            <w:r>
              <w:rPr>
                <w:lang w:eastAsia="zh-CN"/>
              </w:rPr>
              <w:t xml:space="preserve"> </w:t>
            </w:r>
            <w:r>
              <w:rPr>
                <w:spacing w:val="3"/>
                <w:lang w:eastAsia="zh-CN"/>
              </w:rPr>
              <w:t>生型的转移性结直肠癌患者</w:t>
            </w:r>
          </w:p>
        </w:tc>
        <w:tc>
          <w:tcPr>
            <w:tcW w:w="712" w:type="pct"/>
            <w:vMerge w:val="restart"/>
            <w:tcBorders>
              <w:bottom w:val="nil"/>
            </w:tcBorders>
            <w:vAlign w:val="center"/>
          </w:tcPr>
          <w:p>
            <w:pPr>
              <w:pStyle w:val="8"/>
              <w:spacing w:before="250" w:line="187" w:lineRule="auto"/>
              <w:ind w:left="23"/>
              <w:jc w:val="center"/>
              <w:rPr>
                <w:lang w:eastAsia="zh-CN"/>
              </w:rPr>
            </w:pPr>
            <w:r>
              <w:rPr>
                <w:spacing w:val="3"/>
                <w:lang w:eastAsia="zh-CN"/>
              </w:rPr>
              <w:t>进展期及晚期结直肠癌</w:t>
            </w:r>
          </w:p>
        </w:tc>
        <w:tc>
          <w:tcPr>
            <w:tcW w:w="758" w:type="pct"/>
            <w:vMerge w:val="restart"/>
            <w:tcBorders>
              <w:bottom w:val="nil"/>
              <w:right w:val="single" w:color="auto" w:sz="4" w:space="0"/>
            </w:tcBorders>
            <w:vAlign w:val="center"/>
          </w:tcPr>
          <w:p>
            <w:pPr>
              <w:pStyle w:val="8"/>
              <w:spacing w:before="120" w:line="211" w:lineRule="auto"/>
              <w:ind w:left="25" w:right="45" w:firstLine="11"/>
              <w:jc w:val="center"/>
              <w:rPr>
                <w:lang w:eastAsia="zh-CN"/>
              </w:rPr>
            </w:pPr>
            <w:r>
              <w:rPr>
                <w:color w:val="262626"/>
                <w:lang w:eastAsia="zh-CN"/>
              </w:rPr>
              <w:t>NCCN</w:t>
            </w:r>
            <w:r>
              <w:rPr>
                <w:color w:val="262626"/>
                <w:spacing w:val="4"/>
                <w:lang w:eastAsia="zh-CN"/>
              </w:rPr>
              <w:t>结肠癌、直肠癌指南2024/</w:t>
            </w:r>
            <w:r>
              <w:rPr>
                <w:color w:val="262626"/>
                <w:lang w:eastAsia="zh-CN"/>
              </w:rPr>
              <w:t>CSCO</w:t>
            </w:r>
            <w:r>
              <w:rPr>
                <w:color w:val="262626"/>
                <w:spacing w:val="4"/>
                <w:lang w:eastAsia="zh-CN"/>
              </w:rPr>
              <w:t>结</w:t>
            </w:r>
            <w:r>
              <w:rPr>
                <w:color w:val="262626"/>
                <w:spacing w:val="1"/>
                <w:lang w:eastAsia="zh-CN"/>
              </w:rPr>
              <w:t xml:space="preserve"> </w:t>
            </w:r>
            <w:r>
              <w:rPr>
                <w:color w:val="262626"/>
                <w:spacing w:val="3"/>
                <w:lang w:eastAsia="zh-CN"/>
              </w:rPr>
              <w:t>直肠癌诊疗指南2024</w:t>
            </w:r>
          </w:p>
        </w:tc>
        <w:tc>
          <w:tcPr>
            <w:tcW w:w="236" w:type="pct"/>
            <w:tcBorders>
              <w:top w:val="single" w:color="auto" w:sz="4" w:space="0"/>
              <w:left w:val="single" w:color="auto" w:sz="4" w:space="0"/>
              <w:bottom w:val="single" w:color="auto" w:sz="4" w:space="0"/>
              <w:right w:val="single" w:color="auto" w:sz="4" w:space="0"/>
            </w:tcBorders>
            <w:vAlign w:val="center"/>
          </w:tcPr>
          <w:p>
            <w:pPr>
              <w:pStyle w:val="8"/>
              <w:spacing w:before="21" w:line="157" w:lineRule="auto"/>
              <w:ind w:left="30"/>
              <w:jc w:val="center"/>
              <w:rPr>
                <w:color w:val="262626"/>
              </w:rPr>
            </w:pPr>
            <w:r>
              <w:rPr>
                <w:rFonts w:hint="eastAsia"/>
                <w:lang w:eastAsia="zh-CN"/>
              </w:rPr>
              <w:t>否</w:t>
            </w:r>
          </w:p>
        </w:tc>
        <w:tc>
          <w:tcPr>
            <w:tcW w:w="379" w:type="pct"/>
            <w:tcBorders>
              <w:top w:val="single" w:color="auto" w:sz="4" w:space="0"/>
              <w:left w:val="single" w:color="auto" w:sz="4" w:space="0"/>
              <w:bottom w:val="single" w:color="auto" w:sz="4" w:space="0"/>
              <w:right w:val="single" w:color="auto" w:sz="4" w:space="0"/>
            </w:tcBorders>
            <w:vAlign w:val="center"/>
          </w:tcPr>
          <w:p>
            <w:pPr>
              <w:pStyle w:val="8"/>
              <w:spacing w:before="21" w:line="157" w:lineRule="auto"/>
              <w:ind w:left="30"/>
              <w:jc w:val="center"/>
              <w:rPr>
                <w:color w:val="262626"/>
              </w:rPr>
            </w:pPr>
            <w:r>
              <w:rPr>
                <w:rFonts w:hint="eastAsia"/>
                <w:lang w:eastAsia="zh-CN"/>
              </w:rPr>
              <w:t>是，福建省肿瘤医院</w:t>
            </w:r>
          </w:p>
        </w:tc>
        <w:tc>
          <w:tcPr>
            <w:tcW w:w="451" w:type="pct"/>
            <w:tcBorders>
              <w:top w:val="single" w:color="auto" w:sz="4" w:space="0"/>
              <w:left w:val="single" w:color="auto" w:sz="4" w:space="0"/>
              <w:bottom w:val="single" w:color="auto" w:sz="4" w:space="0"/>
              <w:right w:val="single" w:color="auto" w:sz="4" w:space="0"/>
            </w:tcBorders>
          </w:tcPr>
          <w:p>
            <w:pPr>
              <w:pStyle w:val="8"/>
              <w:spacing w:before="218" w:line="160" w:lineRule="exact"/>
              <w:ind w:left="30"/>
              <w:rPr>
                <w:lang w:eastAsia="zh-CN"/>
              </w:rPr>
            </w:pPr>
            <w:r>
              <w:rPr>
                <w:rFonts w:hint="eastAsia"/>
                <w:lang w:eastAsia="zh-CN"/>
              </w:rPr>
              <w:t>1100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268" w:hRule="exact"/>
        </w:trPr>
        <w:tc>
          <w:tcPr>
            <w:tcW w:w="114" w:type="pct"/>
            <w:vMerge w:val="continue"/>
            <w:vAlign w:val="center"/>
          </w:tcPr>
          <w:p>
            <w:pPr>
              <w:jc w:val="center"/>
              <w:rPr>
                <w:lang w:eastAsia="zh-CN"/>
              </w:rPr>
            </w:pPr>
          </w:p>
        </w:tc>
        <w:tc>
          <w:tcPr>
            <w:tcW w:w="250" w:type="pct"/>
            <w:vMerge w:val="continue"/>
            <w:vAlign w:val="center"/>
          </w:tcPr>
          <w:p>
            <w:pPr>
              <w:jc w:val="center"/>
              <w:rPr>
                <w:lang w:eastAsia="zh-CN"/>
              </w:rPr>
            </w:pPr>
          </w:p>
        </w:tc>
        <w:tc>
          <w:tcPr>
            <w:tcW w:w="510" w:type="pct"/>
            <w:vAlign w:val="center"/>
          </w:tcPr>
          <w:p>
            <w:pPr>
              <w:pStyle w:val="8"/>
              <w:spacing w:before="94" w:line="177" w:lineRule="auto"/>
              <w:ind w:left="29"/>
              <w:jc w:val="center"/>
            </w:pPr>
            <w:r>
              <w:rPr>
                <w:spacing w:val="-2"/>
              </w:rPr>
              <w:t>NRAS</w:t>
            </w:r>
          </w:p>
        </w:tc>
        <w:tc>
          <w:tcPr>
            <w:tcW w:w="415" w:type="pct"/>
            <w:vAlign w:val="center"/>
          </w:tcPr>
          <w:p>
            <w:pPr>
              <w:pStyle w:val="8"/>
              <w:spacing w:before="85" w:line="187" w:lineRule="auto"/>
              <w:ind w:left="32"/>
              <w:jc w:val="center"/>
            </w:pPr>
            <w:r>
              <w:rPr>
                <w:spacing w:val="1"/>
              </w:rPr>
              <w:t>1.指导靶向治疗</w:t>
            </w:r>
          </w:p>
        </w:tc>
        <w:tc>
          <w:tcPr>
            <w:tcW w:w="1170" w:type="pct"/>
            <w:vMerge w:val="continue"/>
            <w:tcBorders>
              <w:top w:val="nil"/>
            </w:tcBorders>
            <w:vAlign w:val="center"/>
          </w:tcPr>
          <w:p>
            <w:pPr>
              <w:jc w:val="center"/>
            </w:pPr>
          </w:p>
        </w:tc>
        <w:tc>
          <w:tcPr>
            <w:tcW w:w="712" w:type="pct"/>
            <w:vMerge w:val="continue"/>
            <w:tcBorders>
              <w:top w:val="nil"/>
            </w:tcBorders>
            <w:vAlign w:val="center"/>
          </w:tcPr>
          <w:p>
            <w:pPr>
              <w:jc w:val="center"/>
            </w:pPr>
          </w:p>
        </w:tc>
        <w:tc>
          <w:tcPr>
            <w:tcW w:w="758" w:type="pct"/>
            <w:vMerge w:val="continue"/>
            <w:tcBorders>
              <w:top w:val="nil"/>
              <w:right w:val="single" w:color="auto" w:sz="4" w:space="0"/>
            </w:tcBorders>
            <w:vAlign w:val="center"/>
          </w:tcPr>
          <w:p>
            <w:pPr>
              <w:jc w:val="center"/>
            </w:pPr>
          </w:p>
        </w:tc>
        <w:tc>
          <w:tcPr>
            <w:tcW w:w="236" w:type="pct"/>
            <w:tcBorders>
              <w:top w:val="single" w:color="auto" w:sz="4" w:space="0"/>
              <w:left w:val="single" w:color="auto" w:sz="4" w:space="0"/>
              <w:bottom w:val="single" w:color="auto" w:sz="4" w:space="0"/>
              <w:right w:val="single" w:color="auto" w:sz="4" w:space="0"/>
            </w:tcBorders>
            <w:vAlign w:val="center"/>
          </w:tcPr>
          <w:p>
            <w:pPr>
              <w:pStyle w:val="8"/>
              <w:spacing w:before="21" w:line="157" w:lineRule="auto"/>
              <w:ind w:left="30"/>
              <w:jc w:val="center"/>
              <w:rPr>
                <w:rFonts w:ascii="Arial"/>
                <w:sz w:val="21"/>
              </w:rPr>
            </w:pPr>
            <w:r>
              <w:rPr>
                <w:rFonts w:hint="eastAsia"/>
                <w:lang w:eastAsia="zh-CN"/>
              </w:rPr>
              <w:t>否</w:t>
            </w:r>
          </w:p>
        </w:tc>
        <w:tc>
          <w:tcPr>
            <w:tcW w:w="379" w:type="pct"/>
            <w:tcBorders>
              <w:top w:val="single" w:color="auto" w:sz="4" w:space="0"/>
              <w:left w:val="single" w:color="auto" w:sz="4" w:space="0"/>
              <w:bottom w:val="single" w:color="auto" w:sz="4" w:space="0"/>
              <w:right w:val="single" w:color="auto" w:sz="4" w:space="0"/>
            </w:tcBorders>
            <w:vAlign w:val="center"/>
          </w:tcPr>
          <w:p>
            <w:pPr>
              <w:pStyle w:val="8"/>
              <w:spacing w:before="21" w:line="157" w:lineRule="auto"/>
              <w:ind w:left="30"/>
              <w:jc w:val="center"/>
              <w:rPr>
                <w:rFonts w:ascii="Arial"/>
                <w:sz w:val="21"/>
              </w:rPr>
            </w:pPr>
            <w:r>
              <w:rPr>
                <w:rFonts w:hint="eastAsia"/>
                <w:lang w:eastAsia="zh-CN"/>
              </w:rPr>
              <w:t>是，福建省肿瘤医院</w:t>
            </w:r>
          </w:p>
        </w:tc>
        <w:tc>
          <w:tcPr>
            <w:tcW w:w="451" w:type="pct"/>
            <w:tcBorders>
              <w:top w:val="single" w:color="auto" w:sz="4" w:space="0"/>
              <w:left w:val="single" w:color="auto" w:sz="4" w:space="0"/>
              <w:bottom w:val="single" w:color="auto" w:sz="4" w:space="0"/>
              <w:right w:val="single" w:color="auto" w:sz="4" w:space="0"/>
            </w:tcBorders>
          </w:tcPr>
          <w:p>
            <w:pPr>
              <w:pStyle w:val="8"/>
              <w:spacing w:before="218" w:line="160" w:lineRule="exact"/>
              <w:ind w:left="30"/>
              <w:rPr>
                <w:lang w:eastAsia="zh-CN"/>
              </w:rPr>
            </w:pPr>
            <w:r>
              <w:rPr>
                <w:rFonts w:hint="eastAsia"/>
                <w:lang w:eastAsia="zh-CN"/>
              </w:rPr>
              <w:t>1100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143" w:hRule="exact"/>
        </w:trPr>
        <w:tc>
          <w:tcPr>
            <w:tcW w:w="114" w:type="pct"/>
            <w:vMerge w:val="continue"/>
            <w:vAlign w:val="center"/>
          </w:tcPr>
          <w:p>
            <w:pPr>
              <w:jc w:val="center"/>
              <w:rPr>
                <w:lang w:eastAsia="zh-CN"/>
              </w:rPr>
            </w:pPr>
          </w:p>
        </w:tc>
        <w:tc>
          <w:tcPr>
            <w:tcW w:w="250" w:type="pct"/>
            <w:vMerge w:val="continue"/>
            <w:vAlign w:val="center"/>
          </w:tcPr>
          <w:p>
            <w:pPr>
              <w:jc w:val="center"/>
              <w:rPr>
                <w:lang w:eastAsia="zh-CN"/>
              </w:rPr>
            </w:pPr>
          </w:p>
        </w:tc>
        <w:tc>
          <w:tcPr>
            <w:tcW w:w="510" w:type="pct"/>
            <w:vAlign w:val="center"/>
          </w:tcPr>
          <w:p>
            <w:pPr>
              <w:pStyle w:val="8"/>
              <w:spacing w:before="94" w:line="249" w:lineRule="exact"/>
              <w:ind w:left="29"/>
              <w:jc w:val="center"/>
            </w:pPr>
            <w:r>
              <w:rPr>
                <w:spacing w:val="-1"/>
                <w:position w:val="2"/>
              </w:rPr>
              <w:t>PIK3CA</w:t>
            </w:r>
          </w:p>
        </w:tc>
        <w:tc>
          <w:tcPr>
            <w:tcW w:w="415" w:type="pct"/>
            <w:vAlign w:val="center"/>
          </w:tcPr>
          <w:p>
            <w:pPr>
              <w:pStyle w:val="8"/>
              <w:spacing w:before="121" w:line="187" w:lineRule="auto"/>
              <w:ind w:left="29"/>
              <w:jc w:val="center"/>
            </w:pPr>
            <w:r>
              <w:rPr>
                <w:spacing w:val="1"/>
              </w:rPr>
              <w:t>5.预后评估</w:t>
            </w:r>
          </w:p>
        </w:tc>
        <w:tc>
          <w:tcPr>
            <w:tcW w:w="1170" w:type="pct"/>
            <w:vAlign w:val="center"/>
          </w:tcPr>
          <w:p>
            <w:pPr>
              <w:pStyle w:val="8"/>
              <w:spacing w:before="95" w:line="232" w:lineRule="auto"/>
              <w:ind w:left="15"/>
              <w:jc w:val="center"/>
            </w:pPr>
            <w:r>
              <w:rPr>
                <w:spacing w:val="5"/>
              </w:rPr>
              <w:t>/</w:t>
            </w:r>
          </w:p>
        </w:tc>
        <w:tc>
          <w:tcPr>
            <w:tcW w:w="712" w:type="pct"/>
            <w:vAlign w:val="center"/>
          </w:tcPr>
          <w:p>
            <w:pPr>
              <w:pStyle w:val="8"/>
              <w:spacing w:before="121" w:line="187" w:lineRule="auto"/>
              <w:ind w:left="23"/>
              <w:jc w:val="center"/>
              <w:rPr>
                <w:lang w:eastAsia="zh-CN"/>
              </w:rPr>
            </w:pPr>
            <w:r>
              <w:rPr>
                <w:spacing w:val="3"/>
                <w:lang w:eastAsia="zh-CN"/>
              </w:rPr>
              <w:t>进展期及晚期结直肠癌</w:t>
            </w:r>
          </w:p>
        </w:tc>
        <w:tc>
          <w:tcPr>
            <w:tcW w:w="758" w:type="pct"/>
            <w:vAlign w:val="center"/>
          </w:tcPr>
          <w:p>
            <w:pPr>
              <w:pStyle w:val="8"/>
              <w:spacing w:before="1" w:line="188" w:lineRule="auto"/>
              <w:ind w:left="25" w:right="45" w:firstLine="11"/>
              <w:jc w:val="center"/>
              <w:rPr>
                <w:lang w:eastAsia="zh-CN"/>
              </w:rPr>
            </w:pPr>
            <w:r>
              <w:rPr>
                <w:lang w:eastAsia="zh-CN"/>
              </w:rPr>
              <w:t>NCCN</w:t>
            </w:r>
            <w:r>
              <w:rPr>
                <w:spacing w:val="4"/>
                <w:lang w:eastAsia="zh-CN"/>
              </w:rPr>
              <w:t>结肠癌、直肠癌指南2024/</w:t>
            </w:r>
            <w:r>
              <w:rPr>
                <w:lang w:eastAsia="zh-CN"/>
              </w:rPr>
              <w:t>CSCO</w:t>
            </w:r>
            <w:r>
              <w:rPr>
                <w:spacing w:val="4"/>
                <w:lang w:eastAsia="zh-CN"/>
              </w:rPr>
              <w:t>结</w:t>
            </w:r>
            <w:r>
              <w:rPr>
                <w:spacing w:val="1"/>
                <w:lang w:eastAsia="zh-CN"/>
              </w:rPr>
              <w:t xml:space="preserve"> </w:t>
            </w:r>
            <w:r>
              <w:rPr>
                <w:spacing w:val="3"/>
                <w:lang w:eastAsia="zh-CN"/>
              </w:rPr>
              <w:t>直肠癌诊疗指南2024</w:t>
            </w:r>
          </w:p>
        </w:tc>
        <w:tc>
          <w:tcPr>
            <w:tcW w:w="236" w:type="pct"/>
            <w:tcBorders>
              <w:top w:val="single" w:color="auto" w:sz="4" w:space="0"/>
            </w:tcBorders>
            <w:vAlign w:val="center"/>
          </w:tcPr>
          <w:p>
            <w:pPr>
              <w:pStyle w:val="8"/>
              <w:spacing w:before="21" w:line="157" w:lineRule="auto"/>
              <w:ind w:left="30"/>
              <w:jc w:val="center"/>
            </w:pPr>
            <w:r>
              <w:rPr>
                <w:rFonts w:hint="eastAsia"/>
                <w:lang w:eastAsia="zh-CN"/>
              </w:rPr>
              <w:t>否</w:t>
            </w:r>
          </w:p>
        </w:tc>
        <w:tc>
          <w:tcPr>
            <w:tcW w:w="379" w:type="pct"/>
            <w:tcBorders>
              <w:top w:val="single" w:color="auto" w:sz="4" w:space="0"/>
            </w:tcBorders>
            <w:vAlign w:val="center"/>
          </w:tcPr>
          <w:p>
            <w:pPr>
              <w:pStyle w:val="8"/>
              <w:spacing w:before="21" w:line="157" w:lineRule="auto"/>
              <w:ind w:left="30"/>
              <w:jc w:val="center"/>
            </w:pPr>
            <w:r>
              <w:rPr>
                <w:rFonts w:hint="eastAsia"/>
                <w:lang w:eastAsia="zh-CN"/>
              </w:rPr>
              <w:t>是，福建省肿瘤医院</w:t>
            </w:r>
          </w:p>
        </w:tc>
        <w:tc>
          <w:tcPr>
            <w:tcW w:w="451" w:type="pct"/>
            <w:tcBorders>
              <w:top w:val="single" w:color="auto" w:sz="4" w:space="0"/>
            </w:tcBorders>
          </w:tcPr>
          <w:p>
            <w:pPr>
              <w:pStyle w:val="8"/>
              <w:spacing w:before="218" w:line="160" w:lineRule="exact"/>
              <w:ind w:left="30"/>
              <w:rPr>
                <w:lang w:eastAsia="zh-CN"/>
              </w:rPr>
            </w:pPr>
            <w:r>
              <w:rPr>
                <w:rFonts w:hint="eastAsia"/>
                <w:lang w:eastAsia="zh-CN"/>
              </w:rPr>
              <w:t>1100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848" w:hRule="exact"/>
        </w:trPr>
        <w:tc>
          <w:tcPr>
            <w:tcW w:w="114" w:type="pct"/>
            <w:vMerge w:val="continue"/>
            <w:vAlign w:val="center"/>
          </w:tcPr>
          <w:p>
            <w:pPr>
              <w:jc w:val="center"/>
              <w:rPr>
                <w:lang w:eastAsia="zh-CN"/>
              </w:rPr>
            </w:pPr>
          </w:p>
        </w:tc>
        <w:tc>
          <w:tcPr>
            <w:tcW w:w="250" w:type="pct"/>
            <w:vMerge w:val="continue"/>
            <w:vAlign w:val="center"/>
          </w:tcPr>
          <w:p>
            <w:pPr>
              <w:jc w:val="center"/>
              <w:rPr>
                <w:lang w:eastAsia="zh-CN"/>
              </w:rPr>
            </w:pPr>
          </w:p>
        </w:tc>
        <w:tc>
          <w:tcPr>
            <w:tcW w:w="510" w:type="pct"/>
            <w:vAlign w:val="center"/>
          </w:tcPr>
          <w:p>
            <w:pPr>
              <w:pStyle w:val="8"/>
              <w:spacing w:before="24" w:line="183" w:lineRule="auto"/>
              <w:ind w:left="20" w:right="73" w:firstLine="10"/>
              <w:jc w:val="center"/>
              <w:rPr>
                <w:spacing w:val="2"/>
              </w:rPr>
            </w:pPr>
            <w:r>
              <w:rPr>
                <w:spacing w:val="2"/>
              </w:rPr>
              <w:t>BRAF</w:t>
            </w:r>
          </w:p>
        </w:tc>
        <w:tc>
          <w:tcPr>
            <w:tcW w:w="415" w:type="pct"/>
            <w:vAlign w:val="center"/>
          </w:tcPr>
          <w:p>
            <w:pPr>
              <w:pStyle w:val="8"/>
              <w:spacing w:before="24" w:line="183" w:lineRule="auto"/>
              <w:ind w:left="20" w:right="73" w:firstLine="10"/>
              <w:jc w:val="center"/>
              <w:rPr>
                <w:spacing w:val="2"/>
              </w:rPr>
            </w:pPr>
            <w:r>
              <w:rPr>
                <w:spacing w:val="2"/>
              </w:rPr>
              <w:t>1.指导靶向治疗</w:t>
            </w:r>
          </w:p>
        </w:tc>
        <w:tc>
          <w:tcPr>
            <w:tcW w:w="1170" w:type="pct"/>
            <w:vAlign w:val="center"/>
          </w:tcPr>
          <w:p>
            <w:pPr>
              <w:pStyle w:val="8"/>
              <w:spacing w:before="24" w:line="183" w:lineRule="auto"/>
              <w:ind w:left="20" w:right="73" w:firstLine="10"/>
              <w:jc w:val="center"/>
              <w:rPr>
                <w:spacing w:val="2"/>
              </w:rPr>
            </w:pPr>
            <w:r>
              <w:rPr>
                <w:spacing w:val="2"/>
              </w:rPr>
              <w:t>BRAF 基因 V600E 突变的结直肠癌患者推荐使用 Encorafenib+ （西妥昔单抗/ 帕尼单抗）</w:t>
            </w:r>
          </w:p>
        </w:tc>
        <w:tc>
          <w:tcPr>
            <w:tcW w:w="712" w:type="pct"/>
            <w:vAlign w:val="center"/>
          </w:tcPr>
          <w:p>
            <w:pPr>
              <w:pStyle w:val="8"/>
              <w:spacing w:before="124" w:line="187" w:lineRule="auto"/>
              <w:ind w:left="23"/>
              <w:jc w:val="center"/>
              <w:rPr>
                <w:lang w:eastAsia="zh-CN"/>
              </w:rPr>
            </w:pPr>
            <w:r>
              <w:rPr>
                <w:spacing w:val="3"/>
                <w:lang w:eastAsia="zh-CN"/>
              </w:rPr>
              <w:t>进展期及晚期结直肠癌</w:t>
            </w:r>
          </w:p>
        </w:tc>
        <w:tc>
          <w:tcPr>
            <w:tcW w:w="758" w:type="pct"/>
            <w:vAlign w:val="center"/>
          </w:tcPr>
          <w:p>
            <w:pPr>
              <w:pStyle w:val="8"/>
              <w:spacing w:before="1" w:line="188" w:lineRule="auto"/>
              <w:ind w:left="25" w:right="45" w:firstLine="11"/>
              <w:jc w:val="center"/>
              <w:rPr>
                <w:lang w:eastAsia="zh-CN"/>
              </w:rPr>
            </w:pPr>
            <w:r>
              <w:rPr>
                <w:lang w:eastAsia="zh-CN"/>
              </w:rPr>
              <w:t>NCCN</w:t>
            </w:r>
            <w:r>
              <w:rPr>
                <w:spacing w:val="4"/>
                <w:lang w:eastAsia="zh-CN"/>
              </w:rPr>
              <w:t>结肠癌、直肠癌指南2024/</w:t>
            </w:r>
            <w:r>
              <w:rPr>
                <w:lang w:eastAsia="zh-CN"/>
              </w:rPr>
              <w:t>CSCO</w:t>
            </w:r>
            <w:r>
              <w:rPr>
                <w:spacing w:val="4"/>
                <w:lang w:eastAsia="zh-CN"/>
              </w:rPr>
              <w:t>结</w:t>
            </w:r>
            <w:r>
              <w:rPr>
                <w:spacing w:val="1"/>
                <w:lang w:eastAsia="zh-CN"/>
              </w:rPr>
              <w:t xml:space="preserve"> </w:t>
            </w:r>
            <w:r>
              <w:rPr>
                <w:spacing w:val="3"/>
                <w:lang w:eastAsia="zh-CN"/>
              </w:rPr>
              <w:t>直肠癌诊疗指南2024</w:t>
            </w:r>
          </w:p>
        </w:tc>
        <w:tc>
          <w:tcPr>
            <w:tcW w:w="236" w:type="pct"/>
            <w:vAlign w:val="center"/>
          </w:tcPr>
          <w:p>
            <w:pPr>
              <w:pStyle w:val="8"/>
              <w:spacing w:before="1" w:line="188" w:lineRule="auto"/>
              <w:ind w:left="25" w:right="45" w:firstLine="11"/>
              <w:jc w:val="center"/>
              <w:rPr>
                <w:lang w:eastAsia="zh-CN"/>
              </w:rPr>
            </w:pPr>
            <w:r>
              <w:rPr>
                <w:rFonts w:hint="eastAsia"/>
                <w:lang w:eastAsia="zh-CN"/>
              </w:rPr>
              <w:t>是</w:t>
            </w:r>
          </w:p>
        </w:tc>
        <w:tc>
          <w:tcPr>
            <w:tcW w:w="379" w:type="pct"/>
            <w:vAlign w:val="center"/>
          </w:tcPr>
          <w:p>
            <w:pPr>
              <w:pStyle w:val="8"/>
              <w:spacing w:before="1" w:line="188" w:lineRule="auto"/>
              <w:ind w:left="25" w:right="45" w:firstLine="11"/>
              <w:jc w:val="center"/>
            </w:pPr>
          </w:p>
        </w:tc>
        <w:tc>
          <w:tcPr>
            <w:tcW w:w="451" w:type="pct"/>
            <w:vAlign w:val="center"/>
          </w:tcPr>
          <w:p>
            <w:pPr>
              <w:pStyle w:val="8"/>
              <w:spacing w:before="1" w:line="188" w:lineRule="auto"/>
              <w:ind w:left="25" w:right="45" w:firstLine="11"/>
              <w:jc w:val="both"/>
              <w:rPr>
                <w:lang w:eastAsia="zh-CN"/>
              </w:rPr>
            </w:pPr>
            <w:r>
              <w:rPr>
                <w:rFonts w:hint="eastAsia"/>
                <w:lang w:eastAsia="zh-CN"/>
              </w:rPr>
              <w:t>1100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110" w:hRule="exact"/>
        </w:trPr>
        <w:tc>
          <w:tcPr>
            <w:tcW w:w="114" w:type="pct"/>
            <w:vMerge w:val="continue"/>
            <w:vAlign w:val="center"/>
          </w:tcPr>
          <w:p>
            <w:pPr>
              <w:jc w:val="center"/>
              <w:rPr>
                <w:lang w:eastAsia="zh-CN"/>
              </w:rPr>
            </w:pPr>
          </w:p>
        </w:tc>
        <w:tc>
          <w:tcPr>
            <w:tcW w:w="250" w:type="pct"/>
            <w:vMerge w:val="continue"/>
            <w:vAlign w:val="center"/>
          </w:tcPr>
          <w:p>
            <w:pPr>
              <w:jc w:val="center"/>
              <w:rPr>
                <w:lang w:eastAsia="zh-CN"/>
              </w:rPr>
            </w:pPr>
          </w:p>
        </w:tc>
        <w:tc>
          <w:tcPr>
            <w:tcW w:w="510" w:type="pct"/>
            <w:vAlign w:val="center"/>
          </w:tcPr>
          <w:p>
            <w:pPr>
              <w:pStyle w:val="8"/>
              <w:spacing w:before="24" w:line="183" w:lineRule="auto"/>
              <w:ind w:left="20" w:right="73" w:firstLine="10"/>
              <w:jc w:val="center"/>
              <w:rPr>
                <w:spacing w:val="2"/>
                <w:lang w:eastAsia="zh-CN"/>
              </w:rPr>
            </w:pPr>
            <w:r>
              <w:rPr>
                <w:rFonts w:hint="eastAsia"/>
                <w:spacing w:val="2"/>
                <w:lang w:eastAsia="zh-CN"/>
              </w:rPr>
              <w:t>肠癌KRAS/NRAS/BRAF/PIK3CA</w:t>
            </w:r>
          </w:p>
        </w:tc>
        <w:tc>
          <w:tcPr>
            <w:tcW w:w="415" w:type="pct"/>
            <w:vAlign w:val="center"/>
          </w:tcPr>
          <w:p>
            <w:pPr>
              <w:pStyle w:val="8"/>
              <w:spacing w:before="24" w:line="183" w:lineRule="auto"/>
              <w:ind w:left="20" w:right="73" w:firstLine="10"/>
              <w:jc w:val="center"/>
              <w:rPr>
                <w:spacing w:val="2"/>
                <w:lang w:eastAsia="zh-CN"/>
              </w:rPr>
            </w:pPr>
            <w:r>
              <w:rPr>
                <w:rFonts w:hint="eastAsia"/>
                <w:spacing w:val="2"/>
                <w:lang w:eastAsia="zh-CN"/>
              </w:rPr>
              <w:t>1.</w:t>
            </w:r>
            <w:r>
              <w:rPr>
                <w:spacing w:val="2"/>
                <w:lang w:eastAsia="zh-CN"/>
              </w:rPr>
              <w:t>指导靶向治疗</w:t>
            </w:r>
          </w:p>
          <w:p>
            <w:pPr>
              <w:pStyle w:val="8"/>
              <w:spacing w:before="24" w:line="183" w:lineRule="auto"/>
              <w:ind w:left="20" w:right="73" w:firstLine="10"/>
              <w:jc w:val="center"/>
              <w:rPr>
                <w:spacing w:val="2"/>
                <w:lang w:eastAsia="zh-CN"/>
              </w:rPr>
            </w:pPr>
            <w:r>
              <w:rPr>
                <w:spacing w:val="2"/>
                <w:lang w:eastAsia="zh-CN"/>
              </w:rPr>
              <w:t>5.预后评估</w:t>
            </w:r>
          </w:p>
        </w:tc>
        <w:tc>
          <w:tcPr>
            <w:tcW w:w="1170" w:type="pct"/>
            <w:vAlign w:val="center"/>
          </w:tcPr>
          <w:p>
            <w:pPr>
              <w:pStyle w:val="8"/>
              <w:spacing w:before="24" w:line="183" w:lineRule="auto"/>
              <w:ind w:left="20" w:right="73" w:firstLine="10"/>
              <w:jc w:val="center"/>
              <w:rPr>
                <w:spacing w:val="2"/>
                <w:lang w:eastAsia="zh-CN"/>
              </w:rPr>
            </w:pPr>
            <w:r>
              <w:rPr>
                <w:spacing w:val="2"/>
                <w:lang w:eastAsia="zh-CN"/>
              </w:rPr>
              <w:t>KRAS 和 NRAS 基因 2,3,4 号外显子的已知突变的结直肠癌患者不推荐西妥昔   单抗和帕尼单抗， 推荐贝伐珠单抗等； 推荐西妥昔单抗和帕尼单抗用于 RAS 野 生型的转移性结直肠癌患者</w:t>
            </w:r>
            <w:r>
              <w:rPr>
                <w:rFonts w:hint="eastAsia"/>
                <w:spacing w:val="2"/>
                <w:lang w:eastAsia="zh-CN"/>
              </w:rPr>
              <w:t>\</w:t>
            </w:r>
            <w:r>
              <w:rPr>
                <w:spacing w:val="2"/>
                <w:lang w:eastAsia="zh-CN"/>
              </w:rPr>
              <w:t>BRAF 基因 V600E 突变的结直肠癌患者推荐使用 Encorafenib+ （西妥昔单抗/ 帕尼单抗）</w:t>
            </w:r>
          </w:p>
        </w:tc>
        <w:tc>
          <w:tcPr>
            <w:tcW w:w="712" w:type="pct"/>
            <w:vAlign w:val="center"/>
          </w:tcPr>
          <w:p>
            <w:pPr>
              <w:pStyle w:val="8"/>
              <w:spacing w:before="3" w:line="189" w:lineRule="auto"/>
              <w:ind w:left="23" w:right="84"/>
              <w:jc w:val="center"/>
              <w:rPr>
                <w:lang w:eastAsia="zh-CN"/>
              </w:rPr>
            </w:pPr>
            <w:r>
              <w:rPr>
                <w:spacing w:val="3"/>
                <w:lang w:eastAsia="zh-CN"/>
              </w:rPr>
              <w:t>进展期及晚期结直肠癌</w:t>
            </w:r>
          </w:p>
        </w:tc>
        <w:tc>
          <w:tcPr>
            <w:tcW w:w="758" w:type="pct"/>
            <w:vAlign w:val="center"/>
          </w:tcPr>
          <w:p>
            <w:pPr>
              <w:pStyle w:val="8"/>
              <w:spacing w:before="134" w:line="187" w:lineRule="auto"/>
              <w:ind w:left="30"/>
              <w:jc w:val="center"/>
              <w:rPr>
                <w:lang w:eastAsia="zh-CN"/>
              </w:rPr>
            </w:pPr>
            <w:r>
              <w:rPr>
                <w:color w:val="262626"/>
                <w:lang w:eastAsia="zh-CN"/>
              </w:rPr>
              <w:t>NCCN</w:t>
            </w:r>
            <w:r>
              <w:rPr>
                <w:color w:val="262626"/>
                <w:spacing w:val="4"/>
                <w:lang w:eastAsia="zh-CN"/>
              </w:rPr>
              <w:t>结肠癌、直肠癌指南2024/</w:t>
            </w:r>
            <w:r>
              <w:rPr>
                <w:color w:val="262626"/>
                <w:lang w:eastAsia="zh-CN"/>
              </w:rPr>
              <w:t>CSCO</w:t>
            </w:r>
            <w:r>
              <w:rPr>
                <w:color w:val="262626"/>
                <w:spacing w:val="4"/>
                <w:lang w:eastAsia="zh-CN"/>
              </w:rPr>
              <w:t>结</w:t>
            </w:r>
            <w:r>
              <w:rPr>
                <w:color w:val="262626"/>
                <w:spacing w:val="1"/>
                <w:lang w:eastAsia="zh-CN"/>
              </w:rPr>
              <w:t xml:space="preserve"> </w:t>
            </w:r>
            <w:r>
              <w:rPr>
                <w:color w:val="262626"/>
                <w:spacing w:val="3"/>
                <w:lang w:eastAsia="zh-CN"/>
              </w:rPr>
              <w:t>直肠癌诊疗指南2024</w:t>
            </w:r>
          </w:p>
        </w:tc>
        <w:tc>
          <w:tcPr>
            <w:tcW w:w="236" w:type="pct"/>
            <w:vAlign w:val="center"/>
          </w:tcPr>
          <w:p>
            <w:pPr>
              <w:pStyle w:val="8"/>
              <w:spacing w:before="134" w:line="187" w:lineRule="auto"/>
              <w:ind w:left="30"/>
              <w:jc w:val="center"/>
              <w:rPr>
                <w:lang w:eastAsia="zh-CN"/>
              </w:rPr>
            </w:pPr>
            <w:r>
              <w:rPr>
                <w:rFonts w:hint="eastAsia"/>
                <w:lang w:eastAsia="zh-CN"/>
              </w:rPr>
              <w:t>是</w:t>
            </w:r>
          </w:p>
        </w:tc>
        <w:tc>
          <w:tcPr>
            <w:tcW w:w="379" w:type="pct"/>
            <w:vAlign w:val="center"/>
          </w:tcPr>
          <w:p>
            <w:pPr>
              <w:pStyle w:val="8"/>
              <w:spacing w:before="134" w:line="187" w:lineRule="auto"/>
              <w:ind w:left="30"/>
              <w:jc w:val="center"/>
              <w:rPr>
                <w:lang w:eastAsia="zh-CN"/>
              </w:rPr>
            </w:pPr>
          </w:p>
        </w:tc>
        <w:tc>
          <w:tcPr>
            <w:tcW w:w="451" w:type="pct"/>
            <w:vAlign w:val="center"/>
          </w:tcPr>
          <w:p>
            <w:pPr>
              <w:pStyle w:val="8"/>
              <w:spacing w:before="134" w:line="187" w:lineRule="auto"/>
              <w:ind w:left="30"/>
              <w:jc w:val="both"/>
              <w:rPr>
                <w:lang w:eastAsia="zh-CN"/>
              </w:rPr>
            </w:pPr>
            <w:r>
              <w:rPr>
                <w:rFonts w:hint="eastAsia"/>
                <w:lang w:eastAsia="zh-CN"/>
              </w:rPr>
              <w:t>3300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952" w:hRule="exact"/>
        </w:trPr>
        <w:tc>
          <w:tcPr>
            <w:tcW w:w="114" w:type="pct"/>
            <w:vMerge w:val="restart"/>
            <w:tcBorders>
              <w:bottom w:val="nil"/>
            </w:tcBorders>
            <w:vAlign w:val="center"/>
          </w:tcPr>
          <w:p>
            <w:pPr>
              <w:spacing w:line="261" w:lineRule="auto"/>
              <w:jc w:val="center"/>
            </w:pPr>
          </w:p>
          <w:p>
            <w:pPr>
              <w:spacing w:line="262" w:lineRule="auto"/>
              <w:jc w:val="center"/>
            </w:pPr>
          </w:p>
          <w:p>
            <w:pPr>
              <w:spacing w:line="262" w:lineRule="auto"/>
              <w:jc w:val="center"/>
            </w:pPr>
          </w:p>
          <w:p>
            <w:pPr>
              <w:pStyle w:val="8"/>
              <w:spacing w:before="60" w:line="177" w:lineRule="auto"/>
              <w:ind w:left="28"/>
              <w:jc w:val="center"/>
            </w:pPr>
            <w:r>
              <w:t>9</w:t>
            </w:r>
          </w:p>
        </w:tc>
        <w:tc>
          <w:tcPr>
            <w:tcW w:w="250" w:type="pct"/>
            <w:vMerge w:val="restart"/>
            <w:tcBorders>
              <w:bottom w:val="nil"/>
            </w:tcBorders>
            <w:vAlign w:val="center"/>
          </w:tcPr>
          <w:p>
            <w:pPr>
              <w:spacing w:line="258" w:lineRule="auto"/>
              <w:jc w:val="center"/>
            </w:pPr>
          </w:p>
          <w:p>
            <w:pPr>
              <w:spacing w:line="258" w:lineRule="auto"/>
              <w:jc w:val="center"/>
            </w:pPr>
          </w:p>
          <w:p>
            <w:pPr>
              <w:spacing w:line="259" w:lineRule="auto"/>
              <w:jc w:val="center"/>
            </w:pPr>
          </w:p>
          <w:p>
            <w:pPr>
              <w:pStyle w:val="8"/>
              <w:spacing w:before="60" w:line="187" w:lineRule="auto"/>
              <w:ind w:left="16"/>
              <w:jc w:val="center"/>
            </w:pPr>
            <w:r>
              <w:rPr>
                <w:spacing w:val="3"/>
              </w:rPr>
              <w:t>肝肿瘤</w:t>
            </w:r>
          </w:p>
        </w:tc>
        <w:tc>
          <w:tcPr>
            <w:tcW w:w="510" w:type="pct"/>
            <w:vAlign w:val="center"/>
          </w:tcPr>
          <w:p>
            <w:pPr>
              <w:pStyle w:val="8"/>
              <w:spacing w:before="24" w:line="183" w:lineRule="auto"/>
              <w:ind w:left="20" w:right="73" w:firstLine="10"/>
              <w:jc w:val="center"/>
              <w:rPr>
                <w:spacing w:val="2"/>
              </w:rPr>
            </w:pPr>
            <w:r>
              <w:rPr>
                <w:spacing w:val="2"/>
              </w:rPr>
              <w:t>KRAS</w:t>
            </w:r>
          </w:p>
        </w:tc>
        <w:tc>
          <w:tcPr>
            <w:tcW w:w="415" w:type="pct"/>
            <w:vAlign w:val="center"/>
          </w:tcPr>
          <w:p>
            <w:pPr>
              <w:pStyle w:val="8"/>
              <w:spacing w:before="24" w:line="183" w:lineRule="auto"/>
              <w:ind w:left="20" w:right="73" w:firstLine="10"/>
              <w:jc w:val="center"/>
              <w:rPr>
                <w:spacing w:val="2"/>
              </w:rPr>
            </w:pPr>
            <w:r>
              <w:rPr>
                <w:spacing w:val="2"/>
              </w:rPr>
              <w:t>1.指导靶向治疗</w:t>
            </w:r>
          </w:p>
        </w:tc>
        <w:tc>
          <w:tcPr>
            <w:tcW w:w="1170" w:type="pct"/>
            <w:vAlign w:val="center"/>
          </w:tcPr>
          <w:p>
            <w:pPr>
              <w:pStyle w:val="8"/>
              <w:spacing w:before="24" w:line="183" w:lineRule="auto"/>
              <w:ind w:left="20" w:right="73" w:firstLine="10"/>
              <w:jc w:val="center"/>
              <w:rPr>
                <w:spacing w:val="2"/>
              </w:rPr>
            </w:pPr>
            <w:r>
              <w:rPr>
                <w:spacing w:val="2"/>
              </w:rPr>
              <w:t>阿达格拉西布、索托拉西布 （KRAS G12C）</w:t>
            </w:r>
          </w:p>
        </w:tc>
        <w:tc>
          <w:tcPr>
            <w:tcW w:w="712" w:type="pct"/>
            <w:vAlign w:val="center"/>
          </w:tcPr>
          <w:p>
            <w:pPr>
              <w:pStyle w:val="8"/>
              <w:spacing w:before="120" w:line="207" w:lineRule="auto"/>
              <w:ind w:left="22" w:right="5" w:firstLine="13"/>
              <w:jc w:val="center"/>
            </w:pPr>
            <w:r>
              <w:rPr>
                <w:color w:val="222222"/>
              </w:rPr>
              <w:t>KRAS</w:t>
            </w:r>
            <w:r>
              <w:rPr>
                <w:color w:val="222222"/>
                <w:spacing w:val="5"/>
              </w:rPr>
              <w:t xml:space="preserve"> </w:t>
            </w:r>
            <w:r>
              <w:rPr>
                <w:color w:val="222222"/>
              </w:rPr>
              <w:t>G</w:t>
            </w:r>
            <w:r>
              <w:rPr>
                <w:color w:val="222222"/>
                <w:spacing w:val="5"/>
              </w:rPr>
              <w:t>12C突变晚期肝肿瘤患者建议参</w:t>
            </w:r>
            <w:r>
              <w:rPr>
                <w:color w:val="222222"/>
                <w:spacing w:val="12"/>
                <w:w w:val="101"/>
              </w:rPr>
              <w:t xml:space="preserve"> </w:t>
            </w:r>
            <w:r>
              <w:rPr>
                <w:color w:val="222222"/>
                <w:spacing w:val="4"/>
              </w:rPr>
              <w:t>加靶向</w:t>
            </w:r>
            <w:r>
              <w:rPr>
                <w:color w:val="222222"/>
              </w:rPr>
              <w:t>KRAS</w:t>
            </w:r>
            <w:r>
              <w:rPr>
                <w:color w:val="222222"/>
                <w:spacing w:val="4"/>
              </w:rPr>
              <w:t xml:space="preserve"> </w:t>
            </w:r>
            <w:r>
              <w:rPr>
                <w:color w:val="222222"/>
              </w:rPr>
              <w:t>G</w:t>
            </w:r>
            <w:r>
              <w:rPr>
                <w:color w:val="222222"/>
                <w:spacing w:val="4"/>
              </w:rPr>
              <w:t>12C临床研究。</w:t>
            </w:r>
          </w:p>
        </w:tc>
        <w:tc>
          <w:tcPr>
            <w:tcW w:w="758" w:type="pct"/>
            <w:vAlign w:val="center"/>
          </w:tcPr>
          <w:p>
            <w:pPr>
              <w:pStyle w:val="8"/>
              <w:spacing w:before="28" w:line="182" w:lineRule="auto"/>
              <w:ind w:left="25" w:right="107" w:firstLine="5"/>
              <w:jc w:val="center"/>
              <w:rPr>
                <w:lang w:eastAsia="zh-CN"/>
              </w:rPr>
            </w:pPr>
            <w:r>
              <w:rPr>
                <w:lang w:eastAsia="zh-CN"/>
              </w:rPr>
              <w:t>CSCO</w:t>
            </w:r>
            <w:r>
              <w:rPr>
                <w:spacing w:val="1"/>
                <w:lang w:eastAsia="zh-CN"/>
              </w:rPr>
              <w:t xml:space="preserve">肝癌诊疗指南2024； </w:t>
            </w:r>
            <w:r>
              <w:rPr>
                <w:lang w:eastAsia="zh-CN"/>
              </w:rPr>
              <w:t>NCCN</w:t>
            </w:r>
            <w:r>
              <w:rPr>
                <w:spacing w:val="1"/>
                <w:lang w:eastAsia="zh-CN"/>
              </w:rPr>
              <w:t>指南肝</w:t>
            </w:r>
            <w:r>
              <w:rPr>
                <w:spacing w:val="9"/>
                <w:lang w:eastAsia="zh-CN"/>
              </w:rPr>
              <w:t xml:space="preserve"> </w:t>
            </w:r>
            <w:r>
              <w:rPr>
                <w:spacing w:val="1"/>
                <w:lang w:eastAsia="zh-CN"/>
              </w:rPr>
              <w:t>细胞癌 （2024.V1</w:t>
            </w:r>
            <w:r>
              <w:rPr>
                <w:spacing w:val="-15"/>
                <w:lang w:eastAsia="zh-CN"/>
              </w:rPr>
              <w:t>）；</w:t>
            </w:r>
            <w:r>
              <w:rPr>
                <w:spacing w:val="-2"/>
                <w:lang w:eastAsia="zh-CN"/>
              </w:rPr>
              <w:t xml:space="preserve"> </w:t>
            </w:r>
            <w:r>
              <w:rPr>
                <w:spacing w:val="1"/>
                <w:lang w:eastAsia="zh-CN"/>
              </w:rPr>
              <w:t>肝胆肿瘤分子诊断</w:t>
            </w:r>
            <w:r>
              <w:rPr>
                <w:lang w:eastAsia="zh-CN"/>
              </w:rPr>
              <w:t xml:space="preserve">  临床应用专家共识 （2020</w:t>
            </w:r>
            <w:r>
              <w:rPr>
                <w:spacing w:val="-9"/>
                <w:lang w:eastAsia="zh-CN"/>
              </w:rPr>
              <w:t>）；</w:t>
            </w:r>
          </w:p>
        </w:tc>
        <w:tc>
          <w:tcPr>
            <w:tcW w:w="236" w:type="pct"/>
            <w:vAlign w:val="center"/>
          </w:tcPr>
          <w:p>
            <w:pPr>
              <w:pStyle w:val="8"/>
              <w:spacing w:before="21" w:line="157" w:lineRule="auto"/>
              <w:ind w:left="30"/>
              <w:jc w:val="center"/>
              <w:rPr>
                <w:rFonts w:ascii="Arial"/>
                <w:sz w:val="21"/>
              </w:rPr>
            </w:pPr>
            <w:r>
              <w:rPr>
                <w:rFonts w:hint="eastAsia"/>
                <w:lang w:eastAsia="zh-CN"/>
              </w:rPr>
              <w:t>否</w:t>
            </w:r>
          </w:p>
        </w:tc>
        <w:tc>
          <w:tcPr>
            <w:tcW w:w="379" w:type="pct"/>
            <w:vAlign w:val="center"/>
          </w:tcPr>
          <w:p>
            <w:pPr>
              <w:pStyle w:val="8"/>
              <w:spacing w:before="21" w:line="157" w:lineRule="auto"/>
              <w:ind w:left="30"/>
              <w:jc w:val="center"/>
              <w:rPr>
                <w:rFonts w:ascii="Arial"/>
                <w:sz w:val="21"/>
              </w:rPr>
            </w:pPr>
            <w:r>
              <w:rPr>
                <w:rFonts w:hint="eastAsia"/>
                <w:lang w:eastAsia="zh-CN"/>
              </w:rPr>
              <w:t>是，福建省肿瘤医院</w:t>
            </w:r>
          </w:p>
        </w:tc>
        <w:tc>
          <w:tcPr>
            <w:tcW w:w="451" w:type="pct"/>
          </w:tcPr>
          <w:p>
            <w:pPr>
              <w:pStyle w:val="8"/>
              <w:spacing w:before="218" w:line="160" w:lineRule="exact"/>
              <w:ind w:left="30"/>
              <w:rPr>
                <w:lang w:eastAsia="zh-CN"/>
              </w:rPr>
            </w:pPr>
            <w:r>
              <w:rPr>
                <w:rFonts w:hint="eastAsia"/>
                <w:lang w:eastAsia="zh-CN"/>
              </w:rPr>
              <w:t>1100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363" w:hRule="exact"/>
        </w:trPr>
        <w:tc>
          <w:tcPr>
            <w:tcW w:w="114" w:type="pct"/>
            <w:vMerge w:val="continue"/>
            <w:tcBorders>
              <w:top w:val="nil"/>
            </w:tcBorders>
            <w:vAlign w:val="center"/>
          </w:tcPr>
          <w:p>
            <w:pPr>
              <w:jc w:val="center"/>
            </w:pPr>
          </w:p>
        </w:tc>
        <w:tc>
          <w:tcPr>
            <w:tcW w:w="250" w:type="pct"/>
            <w:vMerge w:val="continue"/>
            <w:tcBorders>
              <w:top w:val="nil"/>
            </w:tcBorders>
            <w:vAlign w:val="center"/>
          </w:tcPr>
          <w:p>
            <w:pPr>
              <w:jc w:val="center"/>
            </w:pPr>
          </w:p>
        </w:tc>
        <w:tc>
          <w:tcPr>
            <w:tcW w:w="510" w:type="pct"/>
            <w:vAlign w:val="center"/>
          </w:tcPr>
          <w:p>
            <w:pPr>
              <w:pStyle w:val="8"/>
              <w:spacing w:before="24" w:line="183" w:lineRule="auto"/>
              <w:ind w:left="20" w:right="73" w:firstLine="10"/>
              <w:jc w:val="center"/>
              <w:rPr>
                <w:spacing w:val="2"/>
              </w:rPr>
            </w:pPr>
            <w:r>
              <w:rPr>
                <w:spacing w:val="2"/>
              </w:rPr>
              <w:t>FGFR2</w:t>
            </w:r>
          </w:p>
        </w:tc>
        <w:tc>
          <w:tcPr>
            <w:tcW w:w="415" w:type="pct"/>
            <w:vAlign w:val="center"/>
          </w:tcPr>
          <w:p>
            <w:pPr>
              <w:pStyle w:val="8"/>
              <w:spacing w:before="24" w:line="183" w:lineRule="auto"/>
              <w:ind w:left="20" w:right="73" w:firstLine="10"/>
              <w:jc w:val="center"/>
              <w:rPr>
                <w:spacing w:val="2"/>
              </w:rPr>
            </w:pPr>
            <w:r>
              <w:rPr>
                <w:spacing w:val="2"/>
              </w:rPr>
              <w:t>1.指导靶向治疗</w:t>
            </w:r>
          </w:p>
        </w:tc>
        <w:tc>
          <w:tcPr>
            <w:tcW w:w="1170" w:type="pct"/>
            <w:vAlign w:val="center"/>
          </w:tcPr>
          <w:p>
            <w:pPr>
              <w:pStyle w:val="8"/>
              <w:spacing w:before="24" w:line="183" w:lineRule="auto"/>
              <w:ind w:left="20" w:right="73" w:firstLine="10"/>
              <w:jc w:val="center"/>
              <w:rPr>
                <w:spacing w:val="2"/>
                <w:lang w:eastAsia="zh-CN"/>
              </w:rPr>
            </w:pPr>
            <w:r>
              <w:rPr>
                <w:spacing w:val="2"/>
                <w:lang w:eastAsia="zh-CN"/>
              </w:rPr>
              <w:t>培米替尼、英飞格拉替尼、福巴替尼</w:t>
            </w:r>
          </w:p>
        </w:tc>
        <w:tc>
          <w:tcPr>
            <w:tcW w:w="712" w:type="pct"/>
            <w:vAlign w:val="center"/>
          </w:tcPr>
          <w:p>
            <w:pPr>
              <w:pStyle w:val="8"/>
              <w:spacing w:before="115" w:line="210" w:lineRule="auto"/>
              <w:ind w:left="23" w:right="41" w:firstLine="11"/>
              <w:jc w:val="center"/>
              <w:rPr>
                <w:lang w:eastAsia="zh-CN"/>
              </w:rPr>
            </w:pPr>
            <w:r>
              <w:rPr>
                <w:lang w:eastAsia="zh-CN"/>
              </w:rPr>
              <w:t>FGFR</w:t>
            </w:r>
            <w:r>
              <w:rPr>
                <w:spacing w:val="3"/>
                <w:lang w:eastAsia="zh-CN"/>
              </w:rPr>
              <w:t>2融合/扩增突变晚期肝肿瘤患者建</w:t>
            </w:r>
            <w:r>
              <w:rPr>
                <w:spacing w:val="5"/>
                <w:lang w:eastAsia="zh-CN"/>
              </w:rPr>
              <w:t xml:space="preserve"> </w:t>
            </w:r>
            <w:r>
              <w:rPr>
                <w:spacing w:val="4"/>
                <w:lang w:eastAsia="zh-CN"/>
              </w:rPr>
              <w:t>议参加靶向</w:t>
            </w:r>
            <w:r>
              <w:rPr>
                <w:lang w:eastAsia="zh-CN"/>
              </w:rPr>
              <w:t>FGFR</w:t>
            </w:r>
            <w:r>
              <w:rPr>
                <w:spacing w:val="4"/>
                <w:lang w:eastAsia="zh-CN"/>
              </w:rPr>
              <w:t>2临床研究。</w:t>
            </w:r>
          </w:p>
        </w:tc>
        <w:tc>
          <w:tcPr>
            <w:tcW w:w="758" w:type="pct"/>
            <w:vAlign w:val="center"/>
          </w:tcPr>
          <w:p>
            <w:pPr>
              <w:pStyle w:val="8"/>
              <w:spacing w:before="38" w:line="192" w:lineRule="auto"/>
              <w:ind w:left="25" w:right="107" w:firstLine="5"/>
              <w:jc w:val="center"/>
              <w:rPr>
                <w:lang w:eastAsia="zh-CN"/>
              </w:rPr>
            </w:pPr>
            <w:r>
              <w:rPr>
                <w:lang w:eastAsia="zh-CN"/>
              </w:rPr>
              <w:t>CSCO</w:t>
            </w:r>
            <w:r>
              <w:rPr>
                <w:spacing w:val="1"/>
                <w:lang w:eastAsia="zh-CN"/>
              </w:rPr>
              <w:t xml:space="preserve">肝癌诊疗指南2024； </w:t>
            </w:r>
            <w:r>
              <w:rPr>
                <w:lang w:eastAsia="zh-CN"/>
              </w:rPr>
              <w:t>NCCN</w:t>
            </w:r>
            <w:r>
              <w:rPr>
                <w:spacing w:val="1"/>
                <w:lang w:eastAsia="zh-CN"/>
              </w:rPr>
              <w:t>指南肝</w:t>
            </w:r>
            <w:r>
              <w:rPr>
                <w:spacing w:val="9"/>
                <w:lang w:eastAsia="zh-CN"/>
              </w:rPr>
              <w:t xml:space="preserve"> </w:t>
            </w:r>
            <w:r>
              <w:rPr>
                <w:spacing w:val="1"/>
                <w:lang w:eastAsia="zh-CN"/>
              </w:rPr>
              <w:t>细胞癌 （2024.V1</w:t>
            </w:r>
            <w:r>
              <w:rPr>
                <w:spacing w:val="-15"/>
                <w:lang w:eastAsia="zh-CN"/>
              </w:rPr>
              <w:t>）；</w:t>
            </w:r>
            <w:r>
              <w:rPr>
                <w:spacing w:val="-2"/>
                <w:lang w:eastAsia="zh-CN"/>
              </w:rPr>
              <w:t xml:space="preserve"> </w:t>
            </w:r>
            <w:r>
              <w:rPr>
                <w:spacing w:val="1"/>
                <w:lang w:eastAsia="zh-CN"/>
              </w:rPr>
              <w:t>肝胆肿瘤分子诊断</w:t>
            </w:r>
            <w:r>
              <w:rPr>
                <w:lang w:eastAsia="zh-CN"/>
              </w:rPr>
              <w:t xml:space="preserve">  临床应用专家共识 （2020</w:t>
            </w:r>
            <w:r>
              <w:rPr>
                <w:spacing w:val="-9"/>
                <w:lang w:eastAsia="zh-CN"/>
              </w:rPr>
              <w:t>）；</w:t>
            </w:r>
          </w:p>
        </w:tc>
        <w:tc>
          <w:tcPr>
            <w:tcW w:w="236" w:type="pct"/>
            <w:vAlign w:val="center"/>
          </w:tcPr>
          <w:p>
            <w:pPr>
              <w:pStyle w:val="8"/>
              <w:spacing w:before="21" w:line="157" w:lineRule="auto"/>
              <w:ind w:left="30"/>
              <w:jc w:val="center"/>
              <w:rPr>
                <w:rFonts w:ascii="Arial"/>
                <w:sz w:val="21"/>
              </w:rPr>
            </w:pPr>
            <w:r>
              <w:rPr>
                <w:rFonts w:hint="eastAsia"/>
                <w:lang w:eastAsia="zh-CN"/>
              </w:rPr>
              <w:t>否</w:t>
            </w:r>
          </w:p>
        </w:tc>
        <w:tc>
          <w:tcPr>
            <w:tcW w:w="379" w:type="pct"/>
            <w:vAlign w:val="center"/>
          </w:tcPr>
          <w:p>
            <w:pPr>
              <w:pStyle w:val="8"/>
              <w:spacing w:before="21" w:line="157" w:lineRule="auto"/>
              <w:ind w:left="30"/>
              <w:jc w:val="center"/>
              <w:rPr>
                <w:rFonts w:ascii="Arial"/>
                <w:sz w:val="21"/>
              </w:rPr>
            </w:pPr>
            <w:r>
              <w:rPr>
                <w:rFonts w:hint="eastAsia"/>
                <w:lang w:eastAsia="zh-CN"/>
              </w:rPr>
              <w:t>是，福建省肿瘤医院</w:t>
            </w:r>
          </w:p>
        </w:tc>
        <w:tc>
          <w:tcPr>
            <w:tcW w:w="451" w:type="pct"/>
          </w:tcPr>
          <w:p>
            <w:pPr>
              <w:pStyle w:val="8"/>
              <w:spacing w:before="218" w:line="160" w:lineRule="exact"/>
              <w:ind w:left="30"/>
              <w:rPr>
                <w:rFonts w:hint="default"/>
                <w:lang w:val="en-US"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63" w:hRule="exact"/>
        </w:trPr>
        <w:tc>
          <w:tcPr>
            <w:tcW w:w="114" w:type="pct"/>
            <w:vMerge w:val="restart"/>
            <w:tcBorders>
              <w:bottom w:val="nil"/>
            </w:tcBorders>
            <w:vAlign w:val="center"/>
          </w:tcPr>
          <w:p>
            <w:pPr>
              <w:spacing w:line="275" w:lineRule="auto"/>
              <w:jc w:val="center"/>
            </w:pPr>
          </w:p>
          <w:p>
            <w:pPr>
              <w:spacing w:line="275" w:lineRule="auto"/>
              <w:jc w:val="center"/>
            </w:pPr>
          </w:p>
          <w:p>
            <w:pPr>
              <w:spacing w:line="275" w:lineRule="auto"/>
              <w:jc w:val="center"/>
            </w:pPr>
          </w:p>
          <w:p>
            <w:pPr>
              <w:spacing w:line="275" w:lineRule="auto"/>
              <w:jc w:val="center"/>
            </w:pPr>
          </w:p>
          <w:p>
            <w:pPr>
              <w:spacing w:line="276" w:lineRule="auto"/>
              <w:jc w:val="center"/>
            </w:pPr>
          </w:p>
          <w:p>
            <w:pPr>
              <w:spacing w:line="276" w:lineRule="auto"/>
              <w:jc w:val="center"/>
            </w:pPr>
          </w:p>
          <w:p>
            <w:pPr>
              <w:pStyle w:val="8"/>
              <w:spacing w:before="60" w:line="177" w:lineRule="auto"/>
              <w:ind w:left="36"/>
              <w:jc w:val="center"/>
            </w:pPr>
            <w:r>
              <w:rPr>
                <w:spacing w:val="-5"/>
              </w:rPr>
              <w:t>10</w:t>
            </w:r>
          </w:p>
        </w:tc>
        <w:tc>
          <w:tcPr>
            <w:tcW w:w="250" w:type="pct"/>
            <w:vMerge w:val="restart"/>
            <w:tcBorders>
              <w:bottom w:val="nil"/>
            </w:tcBorders>
            <w:vAlign w:val="center"/>
          </w:tcPr>
          <w:p>
            <w:pPr>
              <w:spacing w:line="273" w:lineRule="auto"/>
              <w:jc w:val="center"/>
            </w:pPr>
          </w:p>
          <w:p>
            <w:pPr>
              <w:spacing w:line="273" w:lineRule="auto"/>
              <w:jc w:val="center"/>
            </w:pPr>
          </w:p>
          <w:p>
            <w:pPr>
              <w:spacing w:line="274" w:lineRule="auto"/>
              <w:jc w:val="center"/>
            </w:pPr>
          </w:p>
          <w:p>
            <w:pPr>
              <w:spacing w:line="274" w:lineRule="auto"/>
              <w:jc w:val="center"/>
            </w:pPr>
          </w:p>
          <w:p>
            <w:pPr>
              <w:spacing w:line="274" w:lineRule="auto"/>
              <w:jc w:val="center"/>
            </w:pPr>
          </w:p>
          <w:p>
            <w:pPr>
              <w:spacing w:line="274" w:lineRule="auto"/>
              <w:jc w:val="center"/>
            </w:pPr>
          </w:p>
          <w:p>
            <w:pPr>
              <w:pStyle w:val="8"/>
              <w:spacing w:before="60" w:line="187" w:lineRule="auto"/>
              <w:ind w:left="17"/>
              <w:jc w:val="center"/>
            </w:pPr>
            <w:r>
              <w:rPr>
                <w:spacing w:val="3"/>
              </w:rPr>
              <w:t>胆管肿瘤</w:t>
            </w:r>
          </w:p>
        </w:tc>
        <w:tc>
          <w:tcPr>
            <w:tcW w:w="510" w:type="pct"/>
            <w:vAlign w:val="center"/>
          </w:tcPr>
          <w:p>
            <w:pPr>
              <w:pStyle w:val="8"/>
              <w:spacing w:before="24" w:line="183" w:lineRule="auto"/>
              <w:ind w:left="20" w:right="73" w:firstLine="10"/>
              <w:jc w:val="center"/>
              <w:rPr>
                <w:spacing w:val="2"/>
              </w:rPr>
            </w:pPr>
            <w:r>
              <w:rPr>
                <w:spacing w:val="2"/>
              </w:rPr>
              <w:t>FGFR2</w:t>
            </w:r>
          </w:p>
        </w:tc>
        <w:tc>
          <w:tcPr>
            <w:tcW w:w="415" w:type="pct"/>
            <w:vAlign w:val="center"/>
          </w:tcPr>
          <w:p>
            <w:pPr>
              <w:pStyle w:val="8"/>
              <w:spacing w:before="24" w:line="183" w:lineRule="auto"/>
              <w:ind w:left="20" w:right="73" w:firstLine="10"/>
              <w:jc w:val="center"/>
              <w:rPr>
                <w:spacing w:val="2"/>
              </w:rPr>
            </w:pPr>
            <w:r>
              <w:rPr>
                <w:spacing w:val="2"/>
              </w:rPr>
              <w:t>1.指导靶向治疗</w:t>
            </w:r>
          </w:p>
        </w:tc>
        <w:tc>
          <w:tcPr>
            <w:tcW w:w="1170" w:type="pct"/>
            <w:vAlign w:val="center"/>
          </w:tcPr>
          <w:p>
            <w:pPr>
              <w:pStyle w:val="8"/>
              <w:spacing w:before="24" w:line="183" w:lineRule="auto"/>
              <w:ind w:left="20" w:right="73" w:firstLine="10"/>
              <w:jc w:val="center"/>
              <w:rPr>
                <w:spacing w:val="2"/>
                <w:lang w:eastAsia="zh-CN"/>
              </w:rPr>
            </w:pPr>
            <w:r>
              <w:rPr>
                <w:spacing w:val="2"/>
                <w:lang w:eastAsia="zh-CN"/>
              </w:rPr>
              <w:t>培米替尼、英飞格拉替尼、福巴替尼</w:t>
            </w:r>
          </w:p>
        </w:tc>
        <w:tc>
          <w:tcPr>
            <w:tcW w:w="712" w:type="pct"/>
            <w:vAlign w:val="center"/>
          </w:tcPr>
          <w:p>
            <w:pPr>
              <w:pStyle w:val="8"/>
              <w:spacing w:before="95" w:line="211" w:lineRule="auto"/>
              <w:ind w:left="23" w:right="41" w:firstLine="11"/>
              <w:jc w:val="center"/>
              <w:rPr>
                <w:lang w:eastAsia="zh-CN"/>
              </w:rPr>
            </w:pPr>
            <w:r>
              <w:rPr>
                <w:lang w:eastAsia="zh-CN"/>
              </w:rPr>
              <w:t>FGFR</w:t>
            </w:r>
            <w:r>
              <w:rPr>
                <w:spacing w:val="3"/>
                <w:lang w:eastAsia="zh-CN"/>
              </w:rPr>
              <w:t>2融合/扩增突变晚期胆管肿瘤患者</w:t>
            </w:r>
            <w:r>
              <w:rPr>
                <w:spacing w:val="5"/>
                <w:lang w:eastAsia="zh-CN"/>
              </w:rPr>
              <w:t xml:space="preserve"> </w:t>
            </w:r>
            <w:r>
              <w:rPr>
                <w:spacing w:val="4"/>
                <w:lang w:eastAsia="zh-CN"/>
              </w:rPr>
              <w:t>建议参加靶向</w:t>
            </w:r>
            <w:r>
              <w:rPr>
                <w:lang w:eastAsia="zh-CN"/>
              </w:rPr>
              <w:t>FGFR</w:t>
            </w:r>
            <w:r>
              <w:rPr>
                <w:spacing w:val="4"/>
                <w:lang w:eastAsia="zh-CN"/>
              </w:rPr>
              <w:t>2临床研究。</w:t>
            </w:r>
          </w:p>
        </w:tc>
        <w:tc>
          <w:tcPr>
            <w:tcW w:w="758" w:type="pct"/>
            <w:vAlign w:val="center"/>
          </w:tcPr>
          <w:p>
            <w:pPr>
              <w:pStyle w:val="8"/>
              <w:spacing w:before="30" w:line="180" w:lineRule="auto"/>
              <w:ind w:left="30"/>
              <w:jc w:val="center"/>
              <w:rPr>
                <w:lang w:eastAsia="zh-CN"/>
              </w:rPr>
            </w:pPr>
            <w:r>
              <w:rPr>
                <w:lang w:eastAsia="zh-CN"/>
              </w:rPr>
              <w:t>CSCO</w:t>
            </w:r>
            <w:r>
              <w:rPr>
                <w:spacing w:val="3"/>
                <w:lang w:eastAsia="zh-CN"/>
              </w:rPr>
              <w:t>胆道恶性肿瘤诊疗指南2023；</w:t>
            </w:r>
          </w:p>
          <w:p>
            <w:pPr>
              <w:pStyle w:val="8"/>
              <w:spacing w:before="1" w:line="181" w:lineRule="auto"/>
              <w:ind w:left="25" w:right="90" w:firstLine="11"/>
              <w:jc w:val="center"/>
              <w:rPr>
                <w:lang w:eastAsia="zh-CN"/>
              </w:rPr>
            </w:pPr>
            <w:r>
              <w:rPr>
                <w:lang w:eastAsia="zh-CN"/>
              </w:rPr>
              <w:t>NCCN指南胆道癌 （2024.V2</w:t>
            </w:r>
            <w:r>
              <w:rPr>
                <w:spacing w:val="-11"/>
                <w:lang w:eastAsia="zh-CN"/>
              </w:rPr>
              <w:t>）；</w:t>
            </w:r>
            <w:r>
              <w:rPr>
                <w:spacing w:val="-2"/>
                <w:lang w:eastAsia="zh-CN"/>
              </w:rPr>
              <w:t xml:space="preserve"> </w:t>
            </w:r>
            <w:r>
              <w:rPr>
                <w:lang w:eastAsia="zh-CN"/>
              </w:rPr>
              <w:t xml:space="preserve">肝胆肿  </w:t>
            </w:r>
            <w:r>
              <w:rPr>
                <w:spacing w:val="1"/>
                <w:lang w:eastAsia="zh-CN"/>
              </w:rPr>
              <w:t>瘤分子诊断临床应用专家共识 （2020</w:t>
            </w:r>
            <w:r>
              <w:rPr>
                <w:spacing w:val="-8"/>
                <w:lang w:eastAsia="zh-CN"/>
              </w:rPr>
              <w:t>）；</w:t>
            </w:r>
          </w:p>
        </w:tc>
        <w:tc>
          <w:tcPr>
            <w:tcW w:w="236" w:type="pct"/>
            <w:vAlign w:val="center"/>
          </w:tcPr>
          <w:p>
            <w:pPr>
              <w:pStyle w:val="8"/>
              <w:spacing w:before="21" w:line="157" w:lineRule="auto"/>
              <w:ind w:left="30"/>
              <w:jc w:val="center"/>
            </w:pPr>
            <w:r>
              <w:rPr>
                <w:rFonts w:hint="eastAsia"/>
                <w:lang w:eastAsia="zh-CN"/>
              </w:rPr>
              <w:t>否</w:t>
            </w:r>
          </w:p>
        </w:tc>
        <w:tc>
          <w:tcPr>
            <w:tcW w:w="379" w:type="pct"/>
            <w:vAlign w:val="center"/>
          </w:tcPr>
          <w:p>
            <w:pPr>
              <w:pStyle w:val="8"/>
              <w:spacing w:before="21" w:line="157" w:lineRule="auto"/>
              <w:ind w:left="30"/>
              <w:jc w:val="center"/>
            </w:pPr>
            <w:r>
              <w:rPr>
                <w:rFonts w:hint="eastAsia"/>
                <w:lang w:eastAsia="zh-CN"/>
              </w:rPr>
              <w:t>是，福建省肿瘤医院</w:t>
            </w:r>
          </w:p>
        </w:tc>
        <w:tc>
          <w:tcPr>
            <w:tcW w:w="451" w:type="pct"/>
          </w:tcPr>
          <w:p>
            <w:pPr>
              <w:pStyle w:val="8"/>
              <w:spacing w:before="218" w:line="160" w:lineRule="exact"/>
              <w:ind w:left="30"/>
              <w:rPr>
                <w:rFonts w:hint="default"/>
                <w:lang w:val="en-US"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63" w:hRule="exact"/>
        </w:trPr>
        <w:tc>
          <w:tcPr>
            <w:tcW w:w="114" w:type="pct"/>
            <w:vMerge w:val="continue"/>
            <w:tcBorders>
              <w:top w:val="nil"/>
              <w:bottom w:val="nil"/>
            </w:tcBorders>
            <w:vAlign w:val="center"/>
          </w:tcPr>
          <w:p>
            <w:pPr>
              <w:jc w:val="center"/>
            </w:pPr>
          </w:p>
        </w:tc>
        <w:tc>
          <w:tcPr>
            <w:tcW w:w="250" w:type="pct"/>
            <w:vMerge w:val="continue"/>
            <w:tcBorders>
              <w:top w:val="nil"/>
              <w:bottom w:val="nil"/>
            </w:tcBorders>
            <w:vAlign w:val="center"/>
          </w:tcPr>
          <w:p>
            <w:pPr>
              <w:jc w:val="center"/>
            </w:pPr>
          </w:p>
        </w:tc>
        <w:tc>
          <w:tcPr>
            <w:tcW w:w="510" w:type="pct"/>
            <w:vAlign w:val="center"/>
          </w:tcPr>
          <w:p>
            <w:pPr>
              <w:pStyle w:val="8"/>
              <w:spacing w:before="24" w:line="183" w:lineRule="auto"/>
              <w:ind w:left="20" w:right="73" w:firstLine="10"/>
              <w:jc w:val="center"/>
              <w:rPr>
                <w:spacing w:val="2"/>
              </w:rPr>
            </w:pPr>
            <w:r>
              <w:rPr>
                <w:spacing w:val="2"/>
              </w:rPr>
              <w:t>KRAS</w:t>
            </w:r>
          </w:p>
        </w:tc>
        <w:tc>
          <w:tcPr>
            <w:tcW w:w="415" w:type="pct"/>
            <w:vAlign w:val="center"/>
          </w:tcPr>
          <w:p>
            <w:pPr>
              <w:pStyle w:val="8"/>
              <w:spacing w:before="24" w:line="183" w:lineRule="auto"/>
              <w:ind w:left="20" w:right="73" w:firstLine="10"/>
              <w:jc w:val="center"/>
              <w:rPr>
                <w:spacing w:val="2"/>
              </w:rPr>
            </w:pPr>
            <w:r>
              <w:rPr>
                <w:spacing w:val="2"/>
              </w:rPr>
              <w:t>1.指导靶向治疗</w:t>
            </w:r>
          </w:p>
        </w:tc>
        <w:tc>
          <w:tcPr>
            <w:tcW w:w="1170" w:type="pct"/>
            <w:vAlign w:val="center"/>
          </w:tcPr>
          <w:p>
            <w:pPr>
              <w:pStyle w:val="8"/>
              <w:spacing w:before="24" w:line="183" w:lineRule="auto"/>
              <w:ind w:left="20" w:right="73" w:firstLine="10"/>
              <w:jc w:val="center"/>
              <w:rPr>
                <w:spacing w:val="2"/>
              </w:rPr>
            </w:pPr>
            <w:r>
              <w:rPr>
                <w:spacing w:val="2"/>
              </w:rPr>
              <w:t>阿达格拉西布、索托拉西布 （KRAS G12C）</w:t>
            </w:r>
          </w:p>
        </w:tc>
        <w:tc>
          <w:tcPr>
            <w:tcW w:w="712" w:type="pct"/>
            <w:vAlign w:val="center"/>
          </w:tcPr>
          <w:p>
            <w:pPr>
              <w:pStyle w:val="8"/>
              <w:spacing w:before="123" w:line="207" w:lineRule="auto"/>
              <w:ind w:left="23" w:right="43" w:firstLine="12"/>
              <w:jc w:val="center"/>
            </w:pPr>
            <w:r>
              <w:t>KRAS</w:t>
            </w:r>
            <w:r>
              <w:rPr>
                <w:spacing w:val="3"/>
              </w:rPr>
              <w:t xml:space="preserve"> </w:t>
            </w:r>
            <w:r>
              <w:t>G</w:t>
            </w:r>
            <w:r>
              <w:rPr>
                <w:spacing w:val="3"/>
              </w:rPr>
              <w:t>12C突变晚期胆管患者建议参加</w:t>
            </w:r>
            <w:r>
              <w:rPr>
                <w:spacing w:val="6"/>
              </w:rPr>
              <w:t xml:space="preserve"> </w:t>
            </w:r>
            <w:r>
              <w:rPr>
                <w:spacing w:val="3"/>
              </w:rPr>
              <w:t>靶向</w:t>
            </w:r>
            <w:r>
              <w:t>KRAS</w:t>
            </w:r>
            <w:r>
              <w:rPr>
                <w:spacing w:val="3"/>
              </w:rPr>
              <w:t xml:space="preserve"> </w:t>
            </w:r>
            <w:r>
              <w:t>G</w:t>
            </w:r>
            <w:r>
              <w:rPr>
                <w:spacing w:val="3"/>
              </w:rPr>
              <w:t>12C临床研究。</w:t>
            </w:r>
          </w:p>
        </w:tc>
        <w:tc>
          <w:tcPr>
            <w:tcW w:w="758" w:type="pct"/>
            <w:vAlign w:val="center"/>
          </w:tcPr>
          <w:p>
            <w:pPr>
              <w:pStyle w:val="8"/>
              <w:spacing w:before="31" w:line="180" w:lineRule="auto"/>
              <w:ind w:left="30"/>
              <w:jc w:val="center"/>
              <w:rPr>
                <w:lang w:eastAsia="zh-CN"/>
              </w:rPr>
            </w:pPr>
            <w:r>
              <w:rPr>
                <w:lang w:eastAsia="zh-CN"/>
              </w:rPr>
              <w:t>CSCO</w:t>
            </w:r>
            <w:r>
              <w:rPr>
                <w:spacing w:val="3"/>
                <w:lang w:eastAsia="zh-CN"/>
              </w:rPr>
              <w:t>胆道恶性肿瘤诊疗指南2023；</w:t>
            </w:r>
          </w:p>
          <w:p>
            <w:pPr>
              <w:pStyle w:val="8"/>
              <w:spacing w:before="1" w:line="181" w:lineRule="auto"/>
              <w:ind w:left="25" w:right="90" w:firstLine="11"/>
              <w:jc w:val="center"/>
              <w:rPr>
                <w:lang w:eastAsia="zh-CN"/>
              </w:rPr>
            </w:pPr>
            <w:r>
              <w:rPr>
                <w:lang w:eastAsia="zh-CN"/>
              </w:rPr>
              <w:t>NCCN指南胆道癌 （2024.V2</w:t>
            </w:r>
            <w:r>
              <w:rPr>
                <w:spacing w:val="-11"/>
                <w:lang w:eastAsia="zh-CN"/>
              </w:rPr>
              <w:t>）；</w:t>
            </w:r>
            <w:r>
              <w:rPr>
                <w:spacing w:val="-2"/>
                <w:lang w:eastAsia="zh-CN"/>
              </w:rPr>
              <w:t xml:space="preserve"> </w:t>
            </w:r>
            <w:r>
              <w:rPr>
                <w:lang w:eastAsia="zh-CN"/>
              </w:rPr>
              <w:t xml:space="preserve">肝胆肿  </w:t>
            </w:r>
            <w:r>
              <w:rPr>
                <w:spacing w:val="1"/>
                <w:lang w:eastAsia="zh-CN"/>
              </w:rPr>
              <w:t>瘤分子诊断临床应用专家共识 （2020</w:t>
            </w:r>
            <w:r>
              <w:rPr>
                <w:spacing w:val="-8"/>
                <w:lang w:eastAsia="zh-CN"/>
              </w:rPr>
              <w:t>）；</w:t>
            </w:r>
          </w:p>
        </w:tc>
        <w:tc>
          <w:tcPr>
            <w:tcW w:w="236" w:type="pct"/>
            <w:vAlign w:val="center"/>
          </w:tcPr>
          <w:p>
            <w:pPr>
              <w:pStyle w:val="8"/>
              <w:spacing w:before="21" w:line="157" w:lineRule="auto"/>
              <w:ind w:left="30"/>
              <w:jc w:val="center"/>
            </w:pPr>
            <w:r>
              <w:rPr>
                <w:rFonts w:hint="eastAsia"/>
                <w:lang w:eastAsia="zh-CN"/>
              </w:rPr>
              <w:t>否</w:t>
            </w:r>
          </w:p>
        </w:tc>
        <w:tc>
          <w:tcPr>
            <w:tcW w:w="379" w:type="pct"/>
            <w:vAlign w:val="center"/>
          </w:tcPr>
          <w:p>
            <w:pPr>
              <w:pStyle w:val="8"/>
              <w:spacing w:before="21" w:line="157" w:lineRule="auto"/>
              <w:ind w:left="30"/>
              <w:jc w:val="center"/>
            </w:pPr>
            <w:r>
              <w:rPr>
                <w:rFonts w:hint="eastAsia"/>
                <w:lang w:eastAsia="zh-CN"/>
              </w:rPr>
              <w:t>是，福建省肿瘤医院</w:t>
            </w:r>
          </w:p>
        </w:tc>
        <w:tc>
          <w:tcPr>
            <w:tcW w:w="451" w:type="pct"/>
          </w:tcPr>
          <w:p>
            <w:pPr>
              <w:pStyle w:val="8"/>
              <w:spacing w:before="218" w:line="160" w:lineRule="exact"/>
              <w:ind w:left="30"/>
              <w:rPr>
                <w:lang w:eastAsia="zh-CN"/>
              </w:rPr>
            </w:pPr>
            <w:r>
              <w:rPr>
                <w:rFonts w:hint="eastAsia"/>
                <w:lang w:eastAsia="zh-CN"/>
              </w:rPr>
              <w:t>1100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46" w:hRule="exact"/>
        </w:trPr>
        <w:tc>
          <w:tcPr>
            <w:tcW w:w="114" w:type="pct"/>
            <w:vMerge w:val="continue"/>
            <w:tcBorders>
              <w:top w:val="nil"/>
              <w:bottom w:val="nil"/>
            </w:tcBorders>
            <w:vAlign w:val="center"/>
          </w:tcPr>
          <w:p>
            <w:pPr>
              <w:jc w:val="center"/>
            </w:pPr>
          </w:p>
        </w:tc>
        <w:tc>
          <w:tcPr>
            <w:tcW w:w="250" w:type="pct"/>
            <w:vMerge w:val="continue"/>
            <w:tcBorders>
              <w:top w:val="nil"/>
              <w:bottom w:val="nil"/>
            </w:tcBorders>
            <w:vAlign w:val="center"/>
          </w:tcPr>
          <w:p>
            <w:pPr>
              <w:jc w:val="center"/>
            </w:pPr>
          </w:p>
        </w:tc>
        <w:tc>
          <w:tcPr>
            <w:tcW w:w="510" w:type="pct"/>
            <w:vAlign w:val="center"/>
          </w:tcPr>
          <w:p>
            <w:pPr>
              <w:pStyle w:val="8"/>
              <w:spacing w:before="201" w:line="250" w:lineRule="exact"/>
              <w:ind w:left="29"/>
              <w:jc w:val="center"/>
            </w:pPr>
            <w:r>
              <w:rPr>
                <w:spacing w:val="-2"/>
                <w:position w:val="2"/>
              </w:rPr>
              <w:t>IDH1</w:t>
            </w:r>
          </w:p>
        </w:tc>
        <w:tc>
          <w:tcPr>
            <w:tcW w:w="415" w:type="pct"/>
            <w:vAlign w:val="center"/>
          </w:tcPr>
          <w:p>
            <w:pPr>
              <w:pStyle w:val="8"/>
              <w:spacing w:before="227" w:line="187" w:lineRule="auto"/>
              <w:ind w:left="32"/>
              <w:jc w:val="center"/>
            </w:pPr>
            <w:r>
              <w:rPr>
                <w:spacing w:val="1"/>
              </w:rPr>
              <w:t>1.指导靶向治疗</w:t>
            </w:r>
          </w:p>
        </w:tc>
        <w:tc>
          <w:tcPr>
            <w:tcW w:w="1170" w:type="pct"/>
            <w:vAlign w:val="center"/>
          </w:tcPr>
          <w:p>
            <w:pPr>
              <w:pStyle w:val="8"/>
              <w:spacing w:before="123" w:line="207" w:lineRule="auto"/>
              <w:ind w:left="23" w:right="43" w:firstLine="12"/>
              <w:jc w:val="center"/>
              <w:rPr>
                <w:spacing w:val="3"/>
                <w:lang w:eastAsia="zh-CN"/>
              </w:rPr>
            </w:pPr>
            <w:r>
              <w:rPr>
                <w:spacing w:val="3"/>
                <w:lang w:eastAsia="zh-CN"/>
              </w:rPr>
              <w:t>FDA批准艾伏尼布用于既往接受过治疗且携带IDH1基因突变的局部晚期或转移 性胆管癌成人患者</w:t>
            </w:r>
          </w:p>
        </w:tc>
        <w:tc>
          <w:tcPr>
            <w:tcW w:w="712" w:type="pct"/>
            <w:vAlign w:val="center"/>
          </w:tcPr>
          <w:p>
            <w:pPr>
              <w:pStyle w:val="8"/>
              <w:spacing w:before="227" w:line="187" w:lineRule="auto"/>
              <w:ind w:left="23"/>
              <w:jc w:val="center"/>
              <w:rPr>
                <w:lang w:eastAsia="zh-CN"/>
              </w:rPr>
            </w:pPr>
            <w:r>
              <w:rPr>
                <w:spacing w:val="3"/>
                <w:lang w:eastAsia="zh-CN"/>
              </w:rPr>
              <w:t>局部晚期或转移性胆管癌</w:t>
            </w:r>
          </w:p>
        </w:tc>
        <w:tc>
          <w:tcPr>
            <w:tcW w:w="758" w:type="pct"/>
            <w:vAlign w:val="center"/>
          </w:tcPr>
          <w:p>
            <w:pPr>
              <w:pStyle w:val="8"/>
              <w:spacing w:before="32" w:line="180" w:lineRule="auto"/>
              <w:ind w:left="30"/>
              <w:jc w:val="center"/>
              <w:rPr>
                <w:lang w:eastAsia="zh-CN"/>
              </w:rPr>
            </w:pPr>
            <w:r>
              <w:rPr>
                <w:lang w:eastAsia="zh-CN"/>
              </w:rPr>
              <w:t>CSCO</w:t>
            </w:r>
            <w:r>
              <w:rPr>
                <w:spacing w:val="3"/>
                <w:lang w:eastAsia="zh-CN"/>
              </w:rPr>
              <w:t>胆道恶性肿瘤诊疗指南2023；</w:t>
            </w:r>
          </w:p>
          <w:p>
            <w:pPr>
              <w:pStyle w:val="8"/>
              <w:spacing w:before="1" w:line="180" w:lineRule="auto"/>
              <w:ind w:left="25" w:right="90" w:firstLine="11"/>
              <w:jc w:val="center"/>
              <w:rPr>
                <w:lang w:eastAsia="zh-CN"/>
              </w:rPr>
            </w:pPr>
            <w:r>
              <w:rPr>
                <w:lang w:eastAsia="zh-CN"/>
              </w:rPr>
              <w:t>NCCN指南胆道癌 （2024.V2</w:t>
            </w:r>
            <w:r>
              <w:rPr>
                <w:spacing w:val="-11"/>
                <w:lang w:eastAsia="zh-CN"/>
              </w:rPr>
              <w:t>）；</w:t>
            </w:r>
            <w:r>
              <w:rPr>
                <w:spacing w:val="-2"/>
                <w:lang w:eastAsia="zh-CN"/>
              </w:rPr>
              <w:t xml:space="preserve"> </w:t>
            </w:r>
            <w:r>
              <w:rPr>
                <w:lang w:eastAsia="zh-CN"/>
              </w:rPr>
              <w:t xml:space="preserve">肝胆肿  </w:t>
            </w:r>
            <w:r>
              <w:rPr>
                <w:spacing w:val="1"/>
                <w:lang w:eastAsia="zh-CN"/>
              </w:rPr>
              <w:t>瘤分子诊断临床应用专家共识 （2020</w:t>
            </w:r>
            <w:r>
              <w:rPr>
                <w:spacing w:val="-8"/>
                <w:lang w:eastAsia="zh-CN"/>
              </w:rPr>
              <w:t>）；</w:t>
            </w:r>
          </w:p>
        </w:tc>
        <w:tc>
          <w:tcPr>
            <w:tcW w:w="236" w:type="pct"/>
            <w:vAlign w:val="center"/>
          </w:tcPr>
          <w:p>
            <w:pPr>
              <w:pStyle w:val="8"/>
              <w:spacing w:before="21" w:line="157" w:lineRule="auto"/>
              <w:ind w:left="30"/>
              <w:jc w:val="center"/>
            </w:pPr>
            <w:r>
              <w:rPr>
                <w:rFonts w:hint="eastAsia"/>
                <w:lang w:eastAsia="zh-CN"/>
              </w:rPr>
              <w:t>否</w:t>
            </w:r>
          </w:p>
        </w:tc>
        <w:tc>
          <w:tcPr>
            <w:tcW w:w="379" w:type="pct"/>
            <w:vAlign w:val="center"/>
          </w:tcPr>
          <w:p>
            <w:pPr>
              <w:pStyle w:val="8"/>
              <w:spacing w:before="21" w:line="157" w:lineRule="auto"/>
              <w:ind w:left="30"/>
              <w:jc w:val="center"/>
            </w:pPr>
            <w:r>
              <w:rPr>
                <w:rFonts w:hint="eastAsia"/>
                <w:lang w:eastAsia="zh-CN"/>
              </w:rPr>
              <w:t>是，福建省肿瘤医院</w:t>
            </w:r>
          </w:p>
        </w:tc>
        <w:tc>
          <w:tcPr>
            <w:tcW w:w="451" w:type="pct"/>
          </w:tcPr>
          <w:p>
            <w:pPr>
              <w:pStyle w:val="8"/>
              <w:spacing w:before="218" w:line="160" w:lineRule="exact"/>
              <w:ind w:left="30"/>
              <w:rPr>
                <w:rFonts w:hint="default"/>
                <w:lang w:val="en-US" w:eastAsia="zh-CN"/>
              </w:rPr>
            </w:pPr>
            <w:r>
              <w:rPr>
                <w:rFonts w:hint="eastAsia"/>
                <w:lang w:val="en-US" w:eastAsia="zh-CN"/>
              </w:rPr>
              <w:t>550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98" w:hRule="exact"/>
        </w:trPr>
        <w:tc>
          <w:tcPr>
            <w:tcW w:w="114" w:type="pct"/>
            <w:vMerge w:val="continue"/>
            <w:tcBorders>
              <w:top w:val="nil"/>
            </w:tcBorders>
            <w:vAlign w:val="center"/>
          </w:tcPr>
          <w:p>
            <w:pPr>
              <w:jc w:val="center"/>
              <w:rPr>
                <w:lang w:eastAsia="zh-CN"/>
              </w:rPr>
            </w:pPr>
          </w:p>
        </w:tc>
        <w:tc>
          <w:tcPr>
            <w:tcW w:w="250" w:type="pct"/>
            <w:vMerge w:val="continue"/>
            <w:tcBorders>
              <w:top w:val="nil"/>
            </w:tcBorders>
            <w:vAlign w:val="center"/>
          </w:tcPr>
          <w:p>
            <w:pPr>
              <w:jc w:val="center"/>
              <w:rPr>
                <w:lang w:eastAsia="zh-CN"/>
              </w:rPr>
            </w:pPr>
          </w:p>
        </w:tc>
        <w:tc>
          <w:tcPr>
            <w:tcW w:w="510" w:type="pct"/>
            <w:vAlign w:val="center"/>
          </w:tcPr>
          <w:p>
            <w:pPr>
              <w:pStyle w:val="8"/>
              <w:spacing w:before="239" w:line="175" w:lineRule="auto"/>
              <w:ind w:left="17"/>
              <w:jc w:val="center"/>
            </w:pPr>
            <w:r>
              <w:rPr>
                <w:spacing w:val="1"/>
              </w:rPr>
              <w:t>ALK</w:t>
            </w:r>
          </w:p>
        </w:tc>
        <w:tc>
          <w:tcPr>
            <w:tcW w:w="415" w:type="pct"/>
            <w:vAlign w:val="center"/>
          </w:tcPr>
          <w:p>
            <w:pPr>
              <w:pStyle w:val="8"/>
              <w:spacing w:before="227" w:line="187" w:lineRule="auto"/>
              <w:ind w:left="32"/>
              <w:jc w:val="center"/>
            </w:pPr>
            <w:r>
              <w:rPr>
                <w:spacing w:val="1"/>
              </w:rPr>
              <w:t>1.指导靶向治疗</w:t>
            </w:r>
          </w:p>
        </w:tc>
        <w:tc>
          <w:tcPr>
            <w:tcW w:w="1170" w:type="pct"/>
            <w:vAlign w:val="center"/>
          </w:tcPr>
          <w:p>
            <w:pPr>
              <w:pStyle w:val="8"/>
              <w:spacing w:before="123" w:line="207" w:lineRule="auto"/>
              <w:ind w:left="23" w:right="43" w:firstLine="12"/>
              <w:jc w:val="center"/>
              <w:rPr>
                <w:spacing w:val="3"/>
                <w:lang w:eastAsia="zh-CN"/>
              </w:rPr>
            </w:pPr>
            <w:r>
              <w:rPr>
                <w:spacing w:val="3"/>
                <w:lang w:eastAsia="zh-CN"/>
              </w:rPr>
              <w:t>克唑替尼等ALK抑制剂</w:t>
            </w:r>
          </w:p>
        </w:tc>
        <w:tc>
          <w:tcPr>
            <w:tcW w:w="712" w:type="pct"/>
            <w:vAlign w:val="center"/>
          </w:tcPr>
          <w:p>
            <w:pPr>
              <w:pStyle w:val="8"/>
              <w:spacing w:before="125" w:line="207" w:lineRule="auto"/>
              <w:ind w:left="30" w:right="10" w:hanging="7"/>
              <w:jc w:val="center"/>
              <w:rPr>
                <w:lang w:eastAsia="zh-CN"/>
              </w:rPr>
            </w:pPr>
            <w:r>
              <w:rPr>
                <w:lang w:eastAsia="zh-CN"/>
              </w:rPr>
              <w:t>ALK</w:t>
            </w:r>
            <w:r>
              <w:rPr>
                <w:spacing w:val="4"/>
                <w:lang w:eastAsia="zh-CN"/>
              </w:rPr>
              <w:t>突变晚期胆管患者建议参加靶向</w:t>
            </w:r>
            <w:r>
              <w:rPr>
                <w:lang w:eastAsia="zh-CN"/>
              </w:rPr>
              <w:t>ALK</w:t>
            </w:r>
            <w:r>
              <w:rPr>
                <w:spacing w:val="8"/>
                <w:lang w:eastAsia="zh-CN"/>
              </w:rPr>
              <w:t xml:space="preserve"> </w:t>
            </w:r>
            <w:r>
              <w:rPr>
                <w:spacing w:val="1"/>
                <w:lang w:eastAsia="zh-CN"/>
              </w:rPr>
              <w:t>临床研究。</w:t>
            </w:r>
          </w:p>
        </w:tc>
        <w:tc>
          <w:tcPr>
            <w:tcW w:w="758" w:type="pct"/>
            <w:vAlign w:val="center"/>
          </w:tcPr>
          <w:p>
            <w:pPr>
              <w:pStyle w:val="8"/>
              <w:spacing w:before="33" w:line="180" w:lineRule="auto"/>
              <w:ind w:left="30"/>
              <w:jc w:val="center"/>
              <w:rPr>
                <w:lang w:eastAsia="zh-CN"/>
              </w:rPr>
            </w:pPr>
            <w:r>
              <w:rPr>
                <w:lang w:eastAsia="zh-CN"/>
              </w:rPr>
              <w:t>CSCO</w:t>
            </w:r>
            <w:r>
              <w:rPr>
                <w:spacing w:val="3"/>
                <w:lang w:eastAsia="zh-CN"/>
              </w:rPr>
              <w:t>胆道恶性肿瘤诊疗指南2023；</w:t>
            </w:r>
          </w:p>
          <w:p>
            <w:pPr>
              <w:pStyle w:val="8"/>
              <w:spacing w:before="1" w:line="186" w:lineRule="auto"/>
              <w:ind w:left="25" w:right="90" w:firstLine="11"/>
              <w:jc w:val="center"/>
              <w:rPr>
                <w:lang w:eastAsia="zh-CN"/>
              </w:rPr>
            </w:pPr>
            <w:r>
              <w:rPr>
                <w:lang w:eastAsia="zh-CN"/>
              </w:rPr>
              <w:t>NCCN指南胆道癌 （2024.V2</w:t>
            </w:r>
            <w:r>
              <w:rPr>
                <w:spacing w:val="-11"/>
                <w:lang w:eastAsia="zh-CN"/>
              </w:rPr>
              <w:t>）；</w:t>
            </w:r>
            <w:r>
              <w:rPr>
                <w:spacing w:val="-2"/>
                <w:lang w:eastAsia="zh-CN"/>
              </w:rPr>
              <w:t xml:space="preserve"> </w:t>
            </w:r>
            <w:r>
              <w:rPr>
                <w:lang w:eastAsia="zh-CN"/>
              </w:rPr>
              <w:t xml:space="preserve">肝胆肿  </w:t>
            </w:r>
            <w:r>
              <w:rPr>
                <w:spacing w:val="1"/>
                <w:lang w:eastAsia="zh-CN"/>
              </w:rPr>
              <w:t>瘤分子诊断临床应用专家共识 （2020</w:t>
            </w:r>
            <w:r>
              <w:rPr>
                <w:spacing w:val="-8"/>
                <w:lang w:eastAsia="zh-CN"/>
              </w:rPr>
              <w:t>）；</w:t>
            </w:r>
          </w:p>
        </w:tc>
        <w:tc>
          <w:tcPr>
            <w:tcW w:w="236" w:type="pct"/>
            <w:vAlign w:val="center"/>
          </w:tcPr>
          <w:p>
            <w:pPr>
              <w:pStyle w:val="8"/>
              <w:spacing w:before="21" w:line="157" w:lineRule="auto"/>
              <w:ind w:left="30"/>
              <w:jc w:val="center"/>
            </w:pPr>
            <w:r>
              <w:rPr>
                <w:rFonts w:hint="eastAsia"/>
                <w:lang w:eastAsia="zh-CN"/>
              </w:rPr>
              <w:t>否</w:t>
            </w:r>
          </w:p>
        </w:tc>
        <w:tc>
          <w:tcPr>
            <w:tcW w:w="379" w:type="pct"/>
            <w:vAlign w:val="center"/>
          </w:tcPr>
          <w:p>
            <w:pPr>
              <w:pStyle w:val="8"/>
              <w:spacing w:before="21" w:line="157" w:lineRule="auto"/>
              <w:ind w:left="30"/>
              <w:jc w:val="center"/>
            </w:pPr>
            <w:r>
              <w:rPr>
                <w:rFonts w:hint="eastAsia"/>
                <w:lang w:eastAsia="zh-CN"/>
              </w:rPr>
              <w:t>是，福建省肿瘤医院</w:t>
            </w:r>
          </w:p>
        </w:tc>
        <w:tc>
          <w:tcPr>
            <w:tcW w:w="451" w:type="pct"/>
            <w:vAlign w:val="center"/>
          </w:tcPr>
          <w:p>
            <w:pPr>
              <w:pStyle w:val="8"/>
              <w:spacing w:before="1" w:line="188" w:lineRule="auto"/>
              <w:ind w:left="25" w:right="45" w:firstLine="11"/>
              <w:jc w:val="both"/>
              <w:rPr>
                <w:rFonts w:hint="default"/>
                <w:lang w:val="en-US" w:eastAsia="zh-CN"/>
              </w:rPr>
            </w:pPr>
            <w:r>
              <w:rPr>
                <w:rFonts w:hint="eastAsia"/>
                <w:lang w:val="en-US" w:eastAsia="zh-CN"/>
              </w:rPr>
              <w:t>972</w:t>
            </w:r>
          </w:p>
        </w:tc>
      </w:tr>
    </w:tbl>
    <w:p>
      <w:pPr>
        <w:spacing w:line="41" w:lineRule="exact"/>
        <w:rPr>
          <w:sz w:val="3"/>
        </w:rPr>
      </w:pPr>
    </w:p>
    <w:p>
      <w:pPr>
        <w:spacing w:line="41" w:lineRule="exact"/>
        <w:rPr>
          <w:sz w:val="3"/>
          <w:szCs w:val="3"/>
        </w:rPr>
        <w:sectPr>
          <w:footerReference r:id="rId5" w:type="default"/>
          <w:pgSz w:w="16837" w:h="11905"/>
          <w:pgMar w:top="400" w:right="531" w:bottom="401" w:left="393" w:header="0" w:footer="238" w:gutter="0"/>
          <w:cols w:space="720" w:num="1"/>
        </w:sectPr>
      </w:pPr>
    </w:p>
    <w:p>
      <w:pPr>
        <w:spacing w:line="48" w:lineRule="exact"/>
      </w:pPr>
    </w:p>
    <w:tbl>
      <w:tblPr>
        <w:tblStyle w:val="7"/>
        <w:tblW w:w="470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73"/>
        <w:gridCol w:w="1027"/>
        <w:gridCol w:w="1180"/>
        <w:gridCol w:w="1408"/>
        <w:gridCol w:w="2855"/>
        <w:gridCol w:w="2272"/>
        <w:gridCol w:w="2272"/>
        <w:gridCol w:w="702"/>
        <w:gridCol w:w="1705"/>
        <w:gridCol w:w="10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atLeast"/>
        </w:trPr>
        <w:tc>
          <w:tcPr>
            <w:tcW w:w="158" w:type="pct"/>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序号</w:t>
            </w:r>
          </w:p>
        </w:tc>
        <w:tc>
          <w:tcPr>
            <w:tcW w:w="342" w:type="pct"/>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病种名称</w:t>
            </w:r>
          </w:p>
        </w:tc>
        <w:tc>
          <w:tcPr>
            <w:tcW w:w="393" w:type="pct"/>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对应检测基因</w:t>
            </w:r>
          </w:p>
        </w:tc>
        <w:tc>
          <w:tcPr>
            <w:tcW w:w="469" w:type="pct"/>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检测意义</w:t>
            </w:r>
          </w:p>
        </w:tc>
        <w:tc>
          <w:tcPr>
            <w:tcW w:w="951" w:type="pct"/>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指南推荐药物</w:t>
            </w:r>
          </w:p>
        </w:tc>
        <w:tc>
          <w:tcPr>
            <w:tcW w:w="757" w:type="pct"/>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基因检测适应症</w:t>
            </w:r>
          </w:p>
        </w:tc>
        <w:tc>
          <w:tcPr>
            <w:tcW w:w="757" w:type="pct"/>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诊疗规范或指南依据</w:t>
            </w:r>
          </w:p>
        </w:tc>
        <w:tc>
          <w:tcPr>
            <w:tcW w:w="234" w:type="pct"/>
            <w:vAlign w:val="center"/>
          </w:tcPr>
          <w:p>
            <w:pPr>
              <w:spacing w:before="155" w:line="180" w:lineRule="exact"/>
              <w:ind w:left="192"/>
              <w:jc w:val="center"/>
              <w:rPr>
                <w:rFonts w:ascii="黑体" w:hAnsi="黑体" w:eastAsia="黑体" w:cs="黑体"/>
                <w:b/>
                <w:bCs/>
                <w:spacing w:val="1"/>
                <w:sz w:val="14"/>
                <w:szCs w:val="14"/>
              </w:rPr>
            </w:pPr>
            <w:r>
              <w:rPr>
                <w:rFonts w:hint="eastAsia" w:ascii="黑体" w:hAnsi="黑体" w:eastAsia="黑体" w:cs="黑体"/>
                <w:b/>
                <w:bCs/>
                <w:spacing w:val="1"/>
                <w:sz w:val="14"/>
                <w:szCs w:val="14"/>
                <w:lang w:eastAsia="zh-CN"/>
              </w:rPr>
              <w:t>是否本机构开展</w:t>
            </w:r>
          </w:p>
        </w:tc>
        <w:tc>
          <w:tcPr>
            <w:tcW w:w="568" w:type="pct"/>
            <w:vAlign w:val="center"/>
          </w:tcPr>
          <w:p>
            <w:pPr>
              <w:spacing w:before="155" w:line="180" w:lineRule="exact"/>
              <w:ind w:left="192"/>
              <w:jc w:val="center"/>
              <w:rPr>
                <w:rFonts w:ascii="黑体" w:hAnsi="黑体" w:eastAsia="黑体" w:cs="黑体"/>
                <w:b/>
                <w:bCs/>
                <w:spacing w:val="1"/>
                <w:sz w:val="14"/>
                <w:szCs w:val="14"/>
                <w:lang w:eastAsia="zh-CN"/>
              </w:rPr>
            </w:pPr>
            <w:r>
              <w:rPr>
                <w:rFonts w:hint="eastAsia" w:ascii="黑体" w:hAnsi="黑体" w:eastAsia="黑体" w:cs="黑体"/>
                <w:b/>
                <w:bCs/>
                <w:spacing w:val="1"/>
                <w:sz w:val="14"/>
                <w:szCs w:val="14"/>
                <w:lang w:eastAsia="zh-CN"/>
              </w:rPr>
              <w:t>是否外送，外送机构</w:t>
            </w:r>
          </w:p>
        </w:tc>
        <w:tc>
          <w:tcPr>
            <w:tcW w:w="365" w:type="pct"/>
            <w:vAlign w:val="center"/>
          </w:tcPr>
          <w:p>
            <w:pPr>
              <w:spacing w:before="155" w:line="180" w:lineRule="exact"/>
              <w:ind w:left="192"/>
              <w:jc w:val="center"/>
              <w:rPr>
                <w:rFonts w:ascii="黑体" w:hAnsi="黑体" w:eastAsia="黑体" w:cs="黑体"/>
                <w:b/>
                <w:bCs/>
                <w:spacing w:val="1"/>
                <w:sz w:val="14"/>
                <w:szCs w:val="14"/>
                <w:lang w:eastAsia="zh-CN"/>
              </w:rPr>
            </w:pPr>
            <w:r>
              <w:rPr>
                <w:rFonts w:hint="eastAsia" w:ascii="黑体" w:hAnsi="黑体" w:eastAsia="黑体" w:cs="黑体"/>
                <w:b/>
                <w:bCs/>
                <w:spacing w:val="1"/>
                <w:sz w:val="14"/>
                <w:szCs w:val="14"/>
                <w:lang w:eastAsia="zh-CN"/>
              </w:rPr>
              <w:t>价格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158" w:type="pct"/>
            <w:vMerge w:val="restart"/>
            <w:tcBorders>
              <w:bottom w:val="nil"/>
            </w:tcBorders>
          </w:tcPr>
          <w:p>
            <w:pPr>
              <w:spacing w:line="265" w:lineRule="auto"/>
            </w:pPr>
          </w:p>
          <w:p>
            <w:pPr>
              <w:spacing w:line="265" w:lineRule="auto"/>
            </w:pPr>
          </w:p>
          <w:p>
            <w:pPr>
              <w:spacing w:line="266" w:lineRule="auto"/>
            </w:pPr>
          </w:p>
          <w:p>
            <w:pPr>
              <w:spacing w:line="266" w:lineRule="auto"/>
            </w:pPr>
          </w:p>
          <w:p>
            <w:pPr>
              <w:spacing w:line="266" w:lineRule="auto"/>
            </w:pPr>
          </w:p>
          <w:p>
            <w:pPr>
              <w:spacing w:line="266" w:lineRule="auto"/>
            </w:pPr>
          </w:p>
          <w:p>
            <w:pPr>
              <w:spacing w:line="266" w:lineRule="auto"/>
            </w:pPr>
          </w:p>
          <w:p>
            <w:pPr>
              <w:pStyle w:val="8"/>
              <w:spacing w:before="60" w:line="177" w:lineRule="auto"/>
              <w:ind w:left="36"/>
            </w:pPr>
            <w:r>
              <w:rPr>
                <w:spacing w:val="-5"/>
              </w:rPr>
              <w:t>11</w:t>
            </w:r>
          </w:p>
        </w:tc>
        <w:tc>
          <w:tcPr>
            <w:tcW w:w="342" w:type="pct"/>
            <w:vMerge w:val="restart"/>
            <w:tcBorders>
              <w:bottom w:val="nil"/>
            </w:tcBorders>
          </w:tcPr>
          <w:p>
            <w:pPr>
              <w:spacing w:line="264" w:lineRule="auto"/>
            </w:pPr>
          </w:p>
          <w:p>
            <w:pPr>
              <w:spacing w:line="264" w:lineRule="auto"/>
            </w:pPr>
          </w:p>
          <w:p>
            <w:pPr>
              <w:spacing w:line="264" w:lineRule="auto"/>
            </w:pPr>
          </w:p>
          <w:p>
            <w:pPr>
              <w:spacing w:line="264" w:lineRule="auto"/>
            </w:pPr>
          </w:p>
          <w:p>
            <w:pPr>
              <w:spacing w:line="264" w:lineRule="auto"/>
            </w:pPr>
          </w:p>
          <w:p>
            <w:pPr>
              <w:spacing w:line="265" w:lineRule="auto"/>
            </w:pPr>
          </w:p>
          <w:p>
            <w:pPr>
              <w:spacing w:line="265" w:lineRule="auto"/>
            </w:pPr>
          </w:p>
          <w:p>
            <w:pPr>
              <w:pStyle w:val="8"/>
              <w:spacing w:before="60" w:line="187" w:lineRule="auto"/>
              <w:ind w:left="16"/>
            </w:pPr>
            <w:r>
              <w:rPr>
                <w:spacing w:val="3"/>
              </w:rPr>
              <w:t>胰腺肿瘤</w:t>
            </w:r>
          </w:p>
        </w:tc>
        <w:tc>
          <w:tcPr>
            <w:tcW w:w="393" w:type="pct"/>
          </w:tcPr>
          <w:p>
            <w:pPr>
              <w:pStyle w:val="8"/>
              <w:spacing w:before="249" w:line="177" w:lineRule="auto"/>
              <w:ind w:left="29"/>
            </w:pPr>
            <w:r>
              <w:rPr>
                <w:spacing w:val="-2"/>
              </w:rPr>
              <w:t>KRAS</w:t>
            </w:r>
          </w:p>
        </w:tc>
        <w:tc>
          <w:tcPr>
            <w:tcW w:w="469" w:type="pct"/>
          </w:tcPr>
          <w:p>
            <w:pPr>
              <w:pStyle w:val="8"/>
              <w:spacing w:before="239" w:line="187" w:lineRule="auto"/>
              <w:ind w:left="32"/>
            </w:pPr>
            <w:r>
              <w:rPr>
                <w:spacing w:val="1"/>
              </w:rPr>
              <w:t>1.指导靶向治疗</w:t>
            </w:r>
          </w:p>
        </w:tc>
        <w:tc>
          <w:tcPr>
            <w:tcW w:w="951" w:type="pct"/>
          </w:tcPr>
          <w:p>
            <w:pPr>
              <w:pStyle w:val="8"/>
              <w:spacing w:before="212" w:line="226" w:lineRule="auto"/>
              <w:ind w:left="27"/>
            </w:pPr>
            <w:r>
              <w:t>阿达格拉西布、索托拉西布 （KRAS G12C） 、尼妥珠单抗</w:t>
            </w:r>
          </w:p>
        </w:tc>
        <w:tc>
          <w:tcPr>
            <w:tcW w:w="757" w:type="pct"/>
          </w:tcPr>
          <w:p>
            <w:pPr>
              <w:pStyle w:val="8"/>
              <w:spacing w:before="135" w:line="205" w:lineRule="auto"/>
              <w:ind w:left="22" w:right="5" w:firstLine="13"/>
            </w:pPr>
            <w:r>
              <w:rPr>
                <w:color w:val="222222"/>
              </w:rPr>
              <w:t>KRAS</w:t>
            </w:r>
            <w:r>
              <w:rPr>
                <w:color w:val="222222"/>
                <w:spacing w:val="5"/>
              </w:rPr>
              <w:t xml:space="preserve"> </w:t>
            </w:r>
            <w:r>
              <w:rPr>
                <w:color w:val="222222"/>
              </w:rPr>
              <w:t>G</w:t>
            </w:r>
            <w:r>
              <w:rPr>
                <w:color w:val="222222"/>
                <w:spacing w:val="5"/>
              </w:rPr>
              <w:t>12C突变晚期肝肿瘤患者建议参</w:t>
            </w:r>
            <w:r>
              <w:rPr>
                <w:color w:val="222222"/>
                <w:spacing w:val="12"/>
                <w:w w:val="101"/>
              </w:rPr>
              <w:t xml:space="preserve"> </w:t>
            </w:r>
            <w:r>
              <w:rPr>
                <w:color w:val="222222"/>
                <w:spacing w:val="4"/>
              </w:rPr>
              <w:t>加靶向</w:t>
            </w:r>
            <w:r>
              <w:rPr>
                <w:color w:val="222222"/>
              </w:rPr>
              <w:t>KRAS</w:t>
            </w:r>
            <w:r>
              <w:rPr>
                <w:color w:val="222222"/>
                <w:spacing w:val="4"/>
              </w:rPr>
              <w:t xml:space="preserve"> </w:t>
            </w:r>
            <w:r>
              <w:rPr>
                <w:color w:val="222222"/>
              </w:rPr>
              <w:t>G</w:t>
            </w:r>
            <w:r>
              <w:rPr>
                <w:color w:val="222222"/>
                <w:spacing w:val="4"/>
              </w:rPr>
              <w:t>12C临床研究。</w:t>
            </w:r>
          </w:p>
        </w:tc>
        <w:tc>
          <w:tcPr>
            <w:tcW w:w="757" w:type="pct"/>
          </w:tcPr>
          <w:p>
            <w:pPr>
              <w:pStyle w:val="8"/>
              <w:spacing w:before="135" w:line="203" w:lineRule="auto"/>
              <w:ind w:left="24" w:right="107" w:firstLine="5"/>
            </w:pPr>
            <w:r>
              <w:t>CSCO</w:t>
            </w:r>
            <w:r>
              <w:rPr>
                <w:spacing w:val="4"/>
              </w:rPr>
              <w:t>胰腺癌诊疗指南2024、</w:t>
            </w:r>
            <w:r>
              <w:t>NCCN</w:t>
            </w:r>
            <w:r>
              <w:rPr>
                <w:spacing w:val="4"/>
              </w:rPr>
              <w:t>指南</w:t>
            </w:r>
            <w:r>
              <w:rPr>
                <w:spacing w:val="9"/>
              </w:rPr>
              <w:t xml:space="preserve"> </w:t>
            </w:r>
            <w:r>
              <w:rPr>
                <w:spacing w:val="-1"/>
              </w:rPr>
              <w:t>胰腺癌 （2024.V2）</w:t>
            </w:r>
          </w:p>
        </w:tc>
        <w:tc>
          <w:tcPr>
            <w:tcW w:w="234" w:type="pct"/>
          </w:tcPr>
          <w:p>
            <w:pPr>
              <w:pStyle w:val="8"/>
              <w:spacing w:before="135" w:line="203" w:lineRule="auto"/>
              <w:ind w:left="24" w:right="107" w:firstLine="5"/>
              <w:rPr>
                <w:lang w:eastAsia="zh-CN"/>
              </w:rPr>
            </w:pPr>
            <w:r>
              <w:rPr>
                <w:rFonts w:hint="eastAsia"/>
                <w:lang w:eastAsia="zh-CN"/>
              </w:rPr>
              <w:t>否</w:t>
            </w:r>
          </w:p>
        </w:tc>
        <w:tc>
          <w:tcPr>
            <w:tcW w:w="568" w:type="pct"/>
            <w:vAlign w:val="center"/>
          </w:tcPr>
          <w:p>
            <w:pPr>
              <w:pStyle w:val="8"/>
              <w:spacing w:before="21" w:line="157" w:lineRule="auto"/>
              <w:ind w:left="30"/>
              <w:jc w:val="center"/>
              <w:rPr>
                <w:lang w:eastAsia="zh-CN"/>
              </w:rPr>
            </w:pPr>
            <w:r>
              <w:rPr>
                <w:rFonts w:hint="eastAsia"/>
                <w:lang w:eastAsia="zh-CN"/>
              </w:rPr>
              <w:t>是，福建省肿瘤医院</w:t>
            </w:r>
          </w:p>
        </w:tc>
        <w:tc>
          <w:tcPr>
            <w:tcW w:w="365" w:type="pct"/>
          </w:tcPr>
          <w:p>
            <w:pPr>
              <w:pStyle w:val="8"/>
              <w:spacing w:before="218" w:line="160" w:lineRule="exact"/>
              <w:ind w:left="30"/>
              <w:rPr>
                <w:lang w:eastAsia="zh-CN"/>
              </w:rPr>
            </w:pPr>
            <w:r>
              <w:rPr>
                <w:rFonts w:hint="eastAsia"/>
                <w:lang w:eastAsia="zh-CN"/>
              </w:rPr>
              <w:t>1100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158" w:type="pct"/>
            <w:vMerge w:val="continue"/>
            <w:tcBorders>
              <w:top w:val="nil"/>
              <w:bottom w:val="nil"/>
            </w:tcBorders>
          </w:tcPr>
          <w:p/>
        </w:tc>
        <w:tc>
          <w:tcPr>
            <w:tcW w:w="342" w:type="pct"/>
            <w:vMerge w:val="continue"/>
            <w:tcBorders>
              <w:top w:val="nil"/>
              <w:bottom w:val="nil"/>
            </w:tcBorders>
          </w:tcPr>
          <w:p/>
        </w:tc>
        <w:tc>
          <w:tcPr>
            <w:tcW w:w="393" w:type="pct"/>
          </w:tcPr>
          <w:p>
            <w:pPr>
              <w:pStyle w:val="8"/>
              <w:spacing w:before="250" w:line="177" w:lineRule="auto"/>
              <w:ind w:left="29"/>
            </w:pPr>
            <w:r>
              <w:rPr>
                <w:spacing w:val="-1"/>
              </w:rPr>
              <w:t>FGFR2</w:t>
            </w:r>
          </w:p>
        </w:tc>
        <w:tc>
          <w:tcPr>
            <w:tcW w:w="469" w:type="pct"/>
          </w:tcPr>
          <w:p>
            <w:pPr>
              <w:pStyle w:val="8"/>
              <w:spacing w:before="240" w:line="187" w:lineRule="auto"/>
              <w:ind w:left="32"/>
            </w:pPr>
            <w:r>
              <w:rPr>
                <w:spacing w:val="1"/>
              </w:rPr>
              <w:t>1.指导靶向治疗</w:t>
            </w:r>
          </w:p>
        </w:tc>
        <w:tc>
          <w:tcPr>
            <w:tcW w:w="951" w:type="pct"/>
          </w:tcPr>
          <w:p>
            <w:pPr>
              <w:pStyle w:val="8"/>
              <w:spacing w:before="240" w:line="187" w:lineRule="auto"/>
              <w:ind w:left="19"/>
              <w:rPr>
                <w:lang w:eastAsia="zh-CN"/>
              </w:rPr>
            </w:pPr>
            <w:r>
              <w:rPr>
                <w:spacing w:val="3"/>
                <w:lang w:eastAsia="zh-CN"/>
              </w:rPr>
              <w:t>培米替尼、英飞格拉替尼、福巴替尼</w:t>
            </w:r>
          </w:p>
        </w:tc>
        <w:tc>
          <w:tcPr>
            <w:tcW w:w="757" w:type="pct"/>
          </w:tcPr>
          <w:p>
            <w:pPr>
              <w:pStyle w:val="8"/>
              <w:spacing w:before="110" w:line="210" w:lineRule="auto"/>
              <w:ind w:left="23" w:right="41" w:firstLine="11"/>
              <w:rPr>
                <w:lang w:eastAsia="zh-CN"/>
              </w:rPr>
            </w:pPr>
            <w:r>
              <w:rPr>
                <w:lang w:eastAsia="zh-CN"/>
              </w:rPr>
              <w:t>FGFR</w:t>
            </w:r>
            <w:r>
              <w:rPr>
                <w:spacing w:val="3"/>
                <w:lang w:eastAsia="zh-CN"/>
              </w:rPr>
              <w:t>2融合/扩增突变晚期胰腺肿瘤患者</w:t>
            </w:r>
            <w:r>
              <w:rPr>
                <w:spacing w:val="5"/>
                <w:lang w:eastAsia="zh-CN"/>
              </w:rPr>
              <w:t xml:space="preserve"> </w:t>
            </w:r>
            <w:r>
              <w:rPr>
                <w:spacing w:val="4"/>
                <w:lang w:eastAsia="zh-CN"/>
              </w:rPr>
              <w:t>建议参加靶向</w:t>
            </w:r>
            <w:r>
              <w:rPr>
                <w:lang w:eastAsia="zh-CN"/>
              </w:rPr>
              <w:t>FGFR</w:t>
            </w:r>
            <w:r>
              <w:rPr>
                <w:spacing w:val="4"/>
                <w:lang w:eastAsia="zh-CN"/>
              </w:rPr>
              <w:t>2临床研究。</w:t>
            </w:r>
          </w:p>
        </w:tc>
        <w:tc>
          <w:tcPr>
            <w:tcW w:w="757" w:type="pct"/>
          </w:tcPr>
          <w:p>
            <w:pPr>
              <w:pStyle w:val="8"/>
              <w:spacing w:before="136" w:line="203" w:lineRule="auto"/>
              <w:ind w:left="24" w:right="107" w:firstLine="5"/>
            </w:pPr>
            <w:r>
              <w:t>CSCO</w:t>
            </w:r>
            <w:r>
              <w:rPr>
                <w:spacing w:val="4"/>
              </w:rPr>
              <w:t>胰腺癌诊疗指南2024、</w:t>
            </w:r>
            <w:r>
              <w:t>NCCN</w:t>
            </w:r>
            <w:r>
              <w:rPr>
                <w:spacing w:val="4"/>
              </w:rPr>
              <w:t>指南</w:t>
            </w:r>
            <w:r>
              <w:rPr>
                <w:spacing w:val="9"/>
              </w:rPr>
              <w:t xml:space="preserve"> </w:t>
            </w:r>
            <w:r>
              <w:rPr>
                <w:spacing w:val="-1"/>
              </w:rPr>
              <w:t>胰腺癌 （2024.V2）</w:t>
            </w:r>
          </w:p>
        </w:tc>
        <w:tc>
          <w:tcPr>
            <w:tcW w:w="234" w:type="pct"/>
          </w:tcPr>
          <w:p>
            <w:pPr>
              <w:pStyle w:val="8"/>
              <w:spacing w:before="135" w:line="203" w:lineRule="auto"/>
              <w:ind w:left="24" w:right="107" w:firstLine="5"/>
              <w:rPr>
                <w:lang w:eastAsia="zh-CN"/>
              </w:rPr>
            </w:pPr>
            <w:r>
              <w:rPr>
                <w:rFonts w:hint="eastAsia"/>
                <w:lang w:eastAsia="zh-CN"/>
              </w:rPr>
              <w:t>否</w:t>
            </w:r>
          </w:p>
        </w:tc>
        <w:tc>
          <w:tcPr>
            <w:tcW w:w="568" w:type="pct"/>
            <w:vAlign w:val="center"/>
          </w:tcPr>
          <w:p>
            <w:pPr>
              <w:pStyle w:val="8"/>
              <w:spacing w:before="21" w:line="157" w:lineRule="auto"/>
              <w:ind w:left="30"/>
              <w:jc w:val="center"/>
              <w:rPr>
                <w:lang w:eastAsia="zh-CN"/>
              </w:rPr>
            </w:pPr>
            <w:r>
              <w:rPr>
                <w:rFonts w:hint="eastAsia"/>
                <w:lang w:eastAsia="zh-CN"/>
              </w:rPr>
              <w:t>是，福建省肿瘤医院</w:t>
            </w:r>
          </w:p>
        </w:tc>
        <w:tc>
          <w:tcPr>
            <w:tcW w:w="365" w:type="pct"/>
          </w:tcPr>
          <w:p>
            <w:pPr>
              <w:pStyle w:val="8"/>
              <w:spacing w:before="218" w:line="160" w:lineRule="exact"/>
              <w:ind w:left="30"/>
              <w:rPr>
                <w:rFonts w:hint="default"/>
                <w:lang w:val="en-US"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3" w:hRule="atLeast"/>
        </w:trPr>
        <w:tc>
          <w:tcPr>
            <w:tcW w:w="158" w:type="pct"/>
            <w:vMerge w:val="continue"/>
            <w:tcBorders>
              <w:top w:val="nil"/>
              <w:bottom w:val="nil"/>
            </w:tcBorders>
          </w:tcPr>
          <w:p/>
        </w:tc>
        <w:tc>
          <w:tcPr>
            <w:tcW w:w="342" w:type="pct"/>
            <w:vMerge w:val="continue"/>
            <w:tcBorders>
              <w:top w:val="nil"/>
              <w:bottom w:val="nil"/>
            </w:tcBorders>
          </w:tcPr>
          <w:p/>
        </w:tc>
        <w:tc>
          <w:tcPr>
            <w:tcW w:w="393" w:type="pct"/>
          </w:tcPr>
          <w:p>
            <w:pPr>
              <w:spacing w:line="349" w:lineRule="auto"/>
            </w:pPr>
          </w:p>
          <w:p>
            <w:pPr>
              <w:pStyle w:val="8"/>
              <w:spacing w:before="60" w:line="232" w:lineRule="auto"/>
              <w:ind w:left="29"/>
            </w:pPr>
            <w:r>
              <w:t>BRCA</w:t>
            </w:r>
            <w:r>
              <w:rPr>
                <w:spacing w:val="1"/>
              </w:rPr>
              <w:t>1/2</w:t>
            </w:r>
          </w:p>
        </w:tc>
        <w:tc>
          <w:tcPr>
            <w:tcW w:w="469" w:type="pct"/>
          </w:tcPr>
          <w:p>
            <w:pPr>
              <w:spacing w:line="375" w:lineRule="auto"/>
            </w:pPr>
          </w:p>
          <w:p>
            <w:pPr>
              <w:pStyle w:val="8"/>
              <w:spacing w:before="60" w:line="187" w:lineRule="auto"/>
              <w:ind w:left="32"/>
            </w:pPr>
            <w:r>
              <w:rPr>
                <w:spacing w:val="1"/>
              </w:rPr>
              <w:t>1.指导靶向治疗</w:t>
            </w:r>
          </w:p>
        </w:tc>
        <w:tc>
          <w:tcPr>
            <w:tcW w:w="951" w:type="pct"/>
          </w:tcPr>
          <w:p>
            <w:pPr>
              <w:spacing w:line="375" w:lineRule="auto"/>
            </w:pPr>
          </w:p>
          <w:p>
            <w:pPr>
              <w:pStyle w:val="8"/>
              <w:spacing w:before="60" w:line="187" w:lineRule="auto"/>
              <w:ind w:left="20"/>
            </w:pPr>
            <w:r>
              <w:rPr>
                <w:spacing w:val="3"/>
              </w:rPr>
              <w:t>奥拉帕利</w:t>
            </w:r>
          </w:p>
        </w:tc>
        <w:tc>
          <w:tcPr>
            <w:tcW w:w="757" w:type="pct"/>
          </w:tcPr>
          <w:p>
            <w:pPr>
              <w:pStyle w:val="8"/>
              <w:spacing w:line="207" w:lineRule="auto"/>
              <w:ind w:left="23" w:right="72"/>
              <w:jc w:val="both"/>
              <w:rPr>
                <w:lang w:eastAsia="zh-CN"/>
              </w:rPr>
            </w:pPr>
            <w:r>
              <w:rPr>
                <w:color w:val="222222"/>
                <w:spacing w:val="1"/>
                <w:lang w:eastAsia="zh-CN"/>
              </w:rPr>
              <w:t>胚系存在</w:t>
            </w:r>
            <w:r>
              <w:rPr>
                <w:color w:val="222222"/>
                <w:lang w:eastAsia="zh-CN"/>
              </w:rPr>
              <w:t>BRCA</w:t>
            </w:r>
            <w:r>
              <w:rPr>
                <w:color w:val="222222"/>
                <w:spacing w:val="1"/>
                <w:lang w:eastAsia="zh-CN"/>
              </w:rPr>
              <w:t>1/2突变患者， 接受铂类</w:t>
            </w:r>
            <w:r>
              <w:rPr>
                <w:color w:val="222222"/>
                <w:spacing w:val="7"/>
                <w:lang w:eastAsia="zh-CN"/>
              </w:rPr>
              <w:t xml:space="preserve"> </w:t>
            </w:r>
            <w:r>
              <w:rPr>
                <w:color w:val="222222"/>
                <w:spacing w:val="1"/>
                <w:lang w:eastAsia="zh-CN"/>
              </w:rPr>
              <w:t>为基础的化疗方案16周仍稳定患者， 推</w:t>
            </w:r>
            <w:r>
              <w:rPr>
                <w:color w:val="222222"/>
                <w:spacing w:val="6"/>
                <w:lang w:eastAsia="zh-CN"/>
              </w:rPr>
              <w:t xml:space="preserve"> </w:t>
            </w:r>
            <w:r>
              <w:rPr>
                <w:color w:val="222222"/>
                <w:spacing w:val="3"/>
                <w:lang w:eastAsia="zh-CN"/>
              </w:rPr>
              <w:t>荐奥拉帕利维持治疗。对于存在</w:t>
            </w:r>
          </w:p>
          <w:p>
            <w:pPr>
              <w:pStyle w:val="8"/>
              <w:spacing w:line="190" w:lineRule="auto"/>
              <w:ind w:left="23" w:right="65" w:firstLine="12"/>
              <w:rPr>
                <w:lang w:eastAsia="zh-CN"/>
              </w:rPr>
            </w:pPr>
            <w:r>
              <w:rPr>
                <w:color w:val="222222"/>
                <w:lang w:eastAsia="zh-CN"/>
              </w:rPr>
              <w:t>BRCA1/2或PALB2突变的患者， 推荐含</w:t>
            </w:r>
            <w:r>
              <w:rPr>
                <w:color w:val="222222"/>
                <w:spacing w:val="13"/>
                <w:lang w:eastAsia="zh-CN"/>
              </w:rPr>
              <w:t xml:space="preserve"> </w:t>
            </w:r>
            <w:r>
              <w:rPr>
                <w:color w:val="222222"/>
                <w:spacing w:val="3"/>
                <w:lang w:eastAsia="zh-CN"/>
              </w:rPr>
              <w:t>铂类方案化疗。</w:t>
            </w:r>
          </w:p>
        </w:tc>
        <w:tc>
          <w:tcPr>
            <w:tcW w:w="757" w:type="pct"/>
          </w:tcPr>
          <w:p>
            <w:pPr>
              <w:spacing w:line="272" w:lineRule="auto"/>
              <w:rPr>
                <w:lang w:eastAsia="zh-CN"/>
              </w:rPr>
            </w:pPr>
          </w:p>
          <w:p>
            <w:pPr>
              <w:pStyle w:val="8"/>
              <w:spacing w:before="60" w:line="203" w:lineRule="auto"/>
              <w:ind w:left="24" w:right="107" w:firstLine="5"/>
            </w:pPr>
            <w:r>
              <w:t>CSCO</w:t>
            </w:r>
            <w:r>
              <w:rPr>
                <w:spacing w:val="4"/>
              </w:rPr>
              <w:t>胰腺癌诊疗指南2024、</w:t>
            </w:r>
            <w:r>
              <w:t>NCCN</w:t>
            </w:r>
            <w:r>
              <w:rPr>
                <w:spacing w:val="4"/>
              </w:rPr>
              <w:t>指南</w:t>
            </w:r>
            <w:r>
              <w:rPr>
                <w:spacing w:val="9"/>
              </w:rPr>
              <w:t xml:space="preserve"> </w:t>
            </w:r>
            <w:r>
              <w:rPr>
                <w:spacing w:val="-1"/>
              </w:rPr>
              <w:t>胰腺癌 （2024.V2）</w:t>
            </w:r>
          </w:p>
        </w:tc>
        <w:tc>
          <w:tcPr>
            <w:tcW w:w="234" w:type="pct"/>
          </w:tcPr>
          <w:p>
            <w:pPr>
              <w:pStyle w:val="8"/>
              <w:spacing w:before="60" w:line="203" w:lineRule="auto"/>
              <w:ind w:left="24" w:right="107" w:firstLine="5"/>
              <w:rPr>
                <w:lang w:eastAsia="zh-CN"/>
              </w:rPr>
            </w:pPr>
            <w:r>
              <w:rPr>
                <w:rFonts w:hint="eastAsia"/>
                <w:lang w:eastAsia="zh-CN"/>
              </w:rPr>
              <w:t>否</w:t>
            </w:r>
          </w:p>
        </w:tc>
        <w:tc>
          <w:tcPr>
            <w:tcW w:w="568" w:type="pct"/>
          </w:tcPr>
          <w:p>
            <w:pPr>
              <w:pStyle w:val="8"/>
              <w:spacing w:before="60" w:line="203" w:lineRule="auto"/>
              <w:ind w:left="24" w:right="107" w:firstLine="5"/>
            </w:pPr>
            <w:r>
              <w:rPr>
                <w:rFonts w:hint="eastAsia"/>
                <w:lang w:eastAsia="zh-CN"/>
              </w:rPr>
              <w:t>是，福建省肿瘤医院</w:t>
            </w:r>
          </w:p>
        </w:tc>
        <w:tc>
          <w:tcPr>
            <w:tcW w:w="365" w:type="pct"/>
          </w:tcPr>
          <w:p>
            <w:pPr>
              <w:pStyle w:val="8"/>
              <w:spacing w:before="218" w:line="160" w:lineRule="exact"/>
              <w:ind w:left="30"/>
              <w:rPr>
                <w:rFonts w:hint="default"/>
                <w:lang w:val="en-US" w:eastAsia="zh-CN"/>
              </w:rPr>
            </w:pPr>
            <w:r>
              <w:rPr>
                <w:rFonts w:hint="eastAsia"/>
                <w:lang w:val="en-US" w:eastAsia="zh-CN"/>
              </w:rPr>
              <w:t>2500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58" w:type="pct"/>
            <w:vMerge w:val="restart"/>
            <w:tcBorders>
              <w:bottom w:val="nil"/>
            </w:tcBorders>
          </w:tcPr>
          <w:p>
            <w:pPr>
              <w:spacing w:line="263" w:lineRule="auto"/>
            </w:pPr>
          </w:p>
          <w:p>
            <w:pPr>
              <w:spacing w:line="263" w:lineRule="auto"/>
            </w:pPr>
          </w:p>
          <w:p>
            <w:pPr>
              <w:spacing w:line="263" w:lineRule="auto"/>
            </w:pPr>
          </w:p>
          <w:p>
            <w:pPr>
              <w:spacing w:line="263" w:lineRule="auto"/>
            </w:pPr>
          </w:p>
          <w:p>
            <w:pPr>
              <w:spacing w:line="263" w:lineRule="auto"/>
            </w:pPr>
          </w:p>
          <w:p>
            <w:pPr>
              <w:pStyle w:val="8"/>
              <w:spacing w:before="60" w:line="177" w:lineRule="auto"/>
              <w:ind w:left="36"/>
            </w:pPr>
            <w:r>
              <w:rPr>
                <w:spacing w:val="-5"/>
              </w:rPr>
              <w:t>12</w:t>
            </w:r>
          </w:p>
        </w:tc>
        <w:tc>
          <w:tcPr>
            <w:tcW w:w="342" w:type="pct"/>
            <w:vMerge w:val="restart"/>
            <w:tcBorders>
              <w:bottom w:val="nil"/>
            </w:tcBorders>
          </w:tcPr>
          <w:p>
            <w:pPr>
              <w:spacing w:line="260" w:lineRule="auto"/>
            </w:pPr>
          </w:p>
          <w:p>
            <w:pPr>
              <w:spacing w:line="261" w:lineRule="auto"/>
            </w:pPr>
          </w:p>
          <w:p>
            <w:pPr>
              <w:spacing w:line="261" w:lineRule="auto"/>
            </w:pPr>
          </w:p>
          <w:p>
            <w:pPr>
              <w:spacing w:line="261" w:lineRule="auto"/>
            </w:pPr>
          </w:p>
          <w:p>
            <w:pPr>
              <w:spacing w:line="261" w:lineRule="auto"/>
            </w:pPr>
          </w:p>
          <w:p>
            <w:pPr>
              <w:pStyle w:val="8"/>
              <w:spacing w:before="60" w:line="188" w:lineRule="auto"/>
              <w:ind w:left="18"/>
            </w:pPr>
            <w:r>
              <w:rPr>
                <w:spacing w:val="3"/>
              </w:rPr>
              <w:t>黑色素瘤</w:t>
            </w:r>
          </w:p>
        </w:tc>
        <w:tc>
          <w:tcPr>
            <w:tcW w:w="393" w:type="pct"/>
          </w:tcPr>
          <w:p>
            <w:pPr>
              <w:pStyle w:val="8"/>
              <w:spacing w:before="197" w:line="175" w:lineRule="auto"/>
              <w:ind w:left="29"/>
            </w:pPr>
            <w:r>
              <w:rPr>
                <w:spacing w:val="-2"/>
              </w:rPr>
              <w:t>BRAF</w:t>
            </w:r>
          </w:p>
        </w:tc>
        <w:tc>
          <w:tcPr>
            <w:tcW w:w="469" w:type="pct"/>
          </w:tcPr>
          <w:p>
            <w:pPr>
              <w:pStyle w:val="8"/>
              <w:spacing w:before="185" w:line="187" w:lineRule="auto"/>
              <w:ind w:left="32"/>
            </w:pPr>
            <w:r>
              <w:rPr>
                <w:spacing w:val="1"/>
              </w:rPr>
              <w:t>1.指导靶向治疗</w:t>
            </w:r>
          </w:p>
        </w:tc>
        <w:tc>
          <w:tcPr>
            <w:tcW w:w="951" w:type="pct"/>
          </w:tcPr>
          <w:p>
            <w:pPr>
              <w:pStyle w:val="8"/>
              <w:spacing w:before="184" w:line="188" w:lineRule="auto"/>
              <w:ind w:left="20"/>
              <w:rPr>
                <w:lang w:eastAsia="zh-CN"/>
              </w:rPr>
            </w:pPr>
            <w:r>
              <w:rPr>
                <w:spacing w:val="3"/>
                <w:lang w:eastAsia="zh-CN"/>
              </w:rPr>
              <w:t>达拉非尼+曲美替尼、维莫非尼</w:t>
            </w:r>
          </w:p>
        </w:tc>
        <w:tc>
          <w:tcPr>
            <w:tcW w:w="757" w:type="pct"/>
          </w:tcPr>
          <w:p>
            <w:pPr>
              <w:pStyle w:val="8"/>
              <w:spacing w:before="184" w:line="188" w:lineRule="auto"/>
              <w:ind w:left="24"/>
            </w:pPr>
            <w:r>
              <w:rPr>
                <w:spacing w:val="3"/>
              </w:rPr>
              <w:t>黑色素瘤</w:t>
            </w:r>
          </w:p>
        </w:tc>
        <w:tc>
          <w:tcPr>
            <w:tcW w:w="757" w:type="pct"/>
          </w:tcPr>
          <w:p>
            <w:pPr>
              <w:pStyle w:val="8"/>
              <w:spacing w:before="56" w:line="217" w:lineRule="auto"/>
              <w:ind w:left="25" w:right="45" w:firstLine="5"/>
            </w:pPr>
            <w:r>
              <w:t>CSCO</w:t>
            </w:r>
            <w:r>
              <w:rPr>
                <w:spacing w:val="4"/>
              </w:rPr>
              <w:t>黑色素瘤诊疗指南2023/</w:t>
            </w:r>
            <w:r>
              <w:t>NCCN</w:t>
            </w:r>
            <w:r>
              <w:rPr>
                <w:spacing w:val="4"/>
              </w:rPr>
              <w:t>指南</w:t>
            </w:r>
            <w:r>
              <w:rPr>
                <w:spacing w:val="8"/>
              </w:rPr>
              <w:t xml:space="preserve"> </w:t>
            </w:r>
            <w:r>
              <w:t>皮肤黑色素瘤 （2024.V2)</w:t>
            </w:r>
          </w:p>
        </w:tc>
        <w:tc>
          <w:tcPr>
            <w:tcW w:w="234" w:type="pct"/>
          </w:tcPr>
          <w:p>
            <w:pPr>
              <w:pStyle w:val="8"/>
              <w:spacing w:before="56" w:line="217" w:lineRule="auto"/>
              <w:ind w:left="25" w:right="45" w:firstLine="5"/>
              <w:rPr>
                <w:lang w:eastAsia="zh-CN"/>
              </w:rPr>
            </w:pPr>
            <w:r>
              <w:rPr>
                <w:rFonts w:hint="eastAsia"/>
                <w:lang w:eastAsia="zh-CN"/>
              </w:rPr>
              <w:t>是</w:t>
            </w:r>
          </w:p>
        </w:tc>
        <w:tc>
          <w:tcPr>
            <w:tcW w:w="568" w:type="pct"/>
          </w:tcPr>
          <w:p>
            <w:pPr>
              <w:pStyle w:val="8"/>
              <w:spacing w:before="56" w:line="217" w:lineRule="auto"/>
              <w:ind w:left="25" w:right="45" w:firstLine="5"/>
            </w:pPr>
          </w:p>
        </w:tc>
        <w:tc>
          <w:tcPr>
            <w:tcW w:w="365" w:type="pct"/>
          </w:tcPr>
          <w:p>
            <w:pPr>
              <w:pStyle w:val="8"/>
              <w:spacing w:before="218" w:line="160" w:lineRule="exact"/>
              <w:ind w:left="30"/>
              <w:rPr>
                <w:lang w:eastAsia="zh-CN"/>
              </w:rPr>
            </w:pPr>
            <w:r>
              <w:rPr>
                <w:rFonts w:hint="eastAsia"/>
                <w:lang w:eastAsia="zh-CN"/>
              </w:rPr>
              <w:t>1100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158" w:type="pct"/>
            <w:vMerge w:val="continue"/>
            <w:tcBorders>
              <w:top w:val="nil"/>
              <w:bottom w:val="nil"/>
            </w:tcBorders>
          </w:tcPr>
          <w:p/>
        </w:tc>
        <w:tc>
          <w:tcPr>
            <w:tcW w:w="342" w:type="pct"/>
            <w:vMerge w:val="continue"/>
            <w:tcBorders>
              <w:top w:val="nil"/>
              <w:bottom w:val="nil"/>
            </w:tcBorders>
          </w:tcPr>
          <w:p/>
        </w:tc>
        <w:tc>
          <w:tcPr>
            <w:tcW w:w="393" w:type="pct"/>
          </w:tcPr>
          <w:p>
            <w:pPr>
              <w:pStyle w:val="8"/>
              <w:spacing w:before="248" w:line="177" w:lineRule="auto"/>
              <w:ind w:left="29"/>
            </w:pPr>
            <w:r>
              <w:rPr>
                <w:spacing w:val="-2"/>
              </w:rPr>
              <w:t>NRAS</w:t>
            </w:r>
          </w:p>
        </w:tc>
        <w:tc>
          <w:tcPr>
            <w:tcW w:w="469" w:type="pct"/>
          </w:tcPr>
          <w:p>
            <w:pPr>
              <w:pStyle w:val="8"/>
              <w:spacing w:before="238" w:line="187" w:lineRule="auto"/>
              <w:ind w:left="32"/>
            </w:pPr>
            <w:r>
              <w:rPr>
                <w:spacing w:val="1"/>
              </w:rPr>
              <w:t>1.指导靶向治疗</w:t>
            </w:r>
          </w:p>
        </w:tc>
        <w:tc>
          <w:tcPr>
            <w:tcW w:w="951" w:type="pct"/>
          </w:tcPr>
          <w:p>
            <w:pPr>
              <w:pStyle w:val="8"/>
              <w:spacing w:before="237" w:line="188" w:lineRule="auto"/>
              <w:ind w:left="22"/>
            </w:pPr>
            <w:r>
              <w:rPr>
                <w:spacing w:val="3"/>
              </w:rPr>
              <w:t>妥拉美替尼</w:t>
            </w:r>
          </w:p>
        </w:tc>
        <w:tc>
          <w:tcPr>
            <w:tcW w:w="757" w:type="pct"/>
          </w:tcPr>
          <w:p>
            <w:pPr>
              <w:pStyle w:val="8"/>
              <w:spacing w:before="237" w:line="188" w:lineRule="auto"/>
              <w:ind w:left="24"/>
            </w:pPr>
            <w:r>
              <w:rPr>
                <w:spacing w:val="3"/>
              </w:rPr>
              <w:t>黑色素瘤</w:t>
            </w:r>
          </w:p>
        </w:tc>
        <w:tc>
          <w:tcPr>
            <w:tcW w:w="757" w:type="pct"/>
          </w:tcPr>
          <w:p>
            <w:pPr>
              <w:pStyle w:val="8"/>
              <w:spacing w:before="109" w:line="216" w:lineRule="auto"/>
              <w:ind w:left="25" w:right="45" w:firstLine="5"/>
            </w:pPr>
            <w:r>
              <w:t>CSCO</w:t>
            </w:r>
            <w:r>
              <w:rPr>
                <w:spacing w:val="4"/>
              </w:rPr>
              <w:t>黑色素瘤诊疗指南2023/</w:t>
            </w:r>
            <w:r>
              <w:t>NCCN</w:t>
            </w:r>
            <w:r>
              <w:rPr>
                <w:spacing w:val="4"/>
              </w:rPr>
              <w:t>指南</w:t>
            </w:r>
            <w:r>
              <w:rPr>
                <w:spacing w:val="8"/>
              </w:rPr>
              <w:t xml:space="preserve"> </w:t>
            </w:r>
            <w:r>
              <w:t>皮肤黑色素瘤 （2024.V2)</w:t>
            </w:r>
          </w:p>
        </w:tc>
        <w:tc>
          <w:tcPr>
            <w:tcW w:w="234" w:type="pct"/>
          </w:tcPr>
          <w:p>
            <w:pPr>
              <w:pStyle w:val="8"/>
              <w:spacing w:before="60" w:line="203" w:lineRule="auto"/>
              <w:ind w:left="24" w:right="107" w:firstLine="5"/>
            </w:pPr>
            <w:r>
              <w:rPr>
                <w:rFonts w:hint="eastAsia"/>
                <w:lang w:eastAsia="zh-CN"/>
              </w:rPr>
              <w:t>否</w:t>
            </w:r>
          </w:p>
        </w:tc>
        <w:tc>
          <w:tcPr>
            <w:tcW w:w="568" w:type="pct"/>
          </w:tcPr>
          <w:p>
            <w:pPr>
              <w:pStyle w:val="8"/>
              <w:spacing w:before="60" w:line="203" w:lineRule="auto"/>
              <w:ind w:left="24" w:right="107" w:firstLine="5"/>
            </w:pPr>
            <w:r>
              <w:rPr>
                <w:rFonts w:hint="eastAsia"/>
                <w:lang w:eastAsia="zh-CN"/>
              </w:rPr>
              <w:t>是，福建省肿瘤医院</w:t>
            </w:r>
          </w:p>
        </w:tc>
        <w:tc>
          <w:tcPr>
            <w:tcW w:w="365" w:type="pct"/>
          </w:tcPr>
          <w:p>
            <w:pPr>
              <w:pStyle w:val="8"/>
              <w:spacing w:before="218" w:line="160" w:lineRule="exact"/>
              <w:ind w:left="30"/>
              <w:rPr>
                <w:lang w:eastAsia="zh-CN"/>
              </w:rPr>
            </w:pPr>
            <w:r>
              <w:rPr>
                <w:rFonts w:hint="eastAsia"/>
                <w:lang w:eastAsia="zh-CN"/>
              </w:rPr>
              <w:t>1100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158" w:type="pct"/>
            <w:vMerge w:val="continue"/>
            <w:tcBorders>
              <w:top w:val="nil"/>
              <w:bottom w:val="nil"/>
            </w:tcBorders>
          </w:tcPr>
          <w:p/>
        </w:tc>
        <w:tc>
          <w:tcPr>
            <w:tcW w:w="342" w:type="pct"/>
            <w:vMerge w:val="continue"/>
            <w:tcBorders>
              <w:top w:val="nil"/>
              <w:bottom w:val="nil"/>
            </w:tcBorders>
          </w:tcPr>
          <w:p/>
        </w:tc>
        <w:tc>
          <w:tcPr>
            <w:tcW w:w="393" w:type="pct"/>
          </w:tcPr>
          <w:p>
            <w:pPr>
              <w:pStyle w:val="8"/>
              <w:spacing w:before="184" w:line="248" w:lineRule="exact"/>
              <w:ind w:left="22"/>
              <w:rPr>
                <w:highlight w:val="none"/>
              </w:rPr>
            </w:pPr>
            <w:r>
              <w:rPr>
                <w:position w:val="2"/>
                <w:highlight w:val="none"/>
              </w:rPr>
              <w:t>CKIT</w:t>
            </w:r>
          </w:p>
        </w:tc>
        <w:tc>
          <w:tcPr>
            <w:tcW w:w="469" w:type="pct"/>
          </w:tcPr>
          <w:p>
            <w:pPr>
              <w:pStyle w:val="8"/>
              <w:spacing w:before="210" w:line="187" w:lineRule="auto"/>
              <w:ind w:left="32"/>
              <w:rPr>
                <w:highlight w:val="none"/>
              </w:rPr>
            </w:pPr>
            <w:r>
              <w:rPr>
                <w:spacing w:val="1"/>
                <w:highlight w:val="none"/>
              </w:rPr>
              <w:t>1.指导靶向治疗</w:t>
            </w:r>
          </w:p>
        </w:tc>
        <w:tc>
          <w:tcPr>
            <w:tcW w:w="951" w:type="pct"/>
          </w:tcPr>
          <w:p>
            <w:pPr>
              <w:pStyle w:val="8"/>
              <w:spacing w:before="210" w:line="187" w:lineRule="auto"/>
              <w:ind w:left="19"/>
              <w:rPr>
                <w:highlight w:val="none"/>
                <w:lang w:eastAsia="zh-CN"/>
              </w:rPr>
            </w:pPr>
            <w:r>
              <w:rPr>
                <w:spacing w:val="3"/>
                <w:highlight w:val="none"/>
                <w:lang w:eastAsia="zh-CN"/>
              </w:rPr>
              <w:t>伊马替尼、达沙替尼、瑞派替尼</w:t>
            </w:r>
          </w:p>
        </w:tc>
        <w:tc>
          <w:tcPr>
            <w:tcW w:w="757" w:type="pct"/>
          </w:tcPr>
          <w:p>
            <w:pPr>
              <w:pStyle w:val="8"/>
              <w:spacing w:before="209" w:line="188" w:lineRule="auto"/>
              <w:ind w:left="24"/>
              <w:rPr>
                <w:highlight w:val="none"/>
              </w:rPr>
            </w:pPr>
            <w:r>
              <w:rPr>
                <w:spacing w:val="3"/>
                <w:highlight w:val="none"/>
              </w:rPr>
              <w:t>黑色素瘤</w:t>
            </w:r>
          </w:p>
        </w:tc>
        <w:tc>
          <w:tcPr>
            <w:tcW w:w="757" w:type="pct"/>
          </w:tcPr>
          <w:p>
            <w:pPr>
              <w:pStyle w:val="8"/>
              <w:spacing w:before="81" w:line="217" w:lineRule="auto"/>
              <w:ind w:left="25" w:right="45" w:firstLine="5"/>
              <w:rPr>
                <w:highlight w:val="none"/>
              </w:rPr>
            </w:pPr>
            <w:r>
              <w:rPr>
                <w:highlight w:val="none"/>
              </w:rPr>
              <w:t>CSCO</w:t>
            </w:r>
            <w:r>
              <w:rPr>
                <w:spacing w:val="4"/>
                <w:highlight w:val="none"/>
              </w:rPr>
              <w:t>黑色素瘤诊疗指南2023/</w:t>
            </w:r>
            <w:r>
              <w:rPr>
                <w:highlight w:val="none"/>
              </w:rPr>
              <w:t>NCCN</w:t>
            </w:r>
            <w:r>
              <w:rPr>
                <w:spacing w:val="4"/>
                <w:highlight w:val="none"/>
              </w:rPr>
              <w:t>指南</w:t>
            </w:r>
            <w:r>
              <w:rPr>
                <w:spacing w:val="8"/>
                <w:highlight w:val="none"/>
              </w:rPr>
              <w:t xml:space="preserve"> </w:t>
            </w:r>
            <w:r>
              <w:rPr>
                <w:highlight w:val="none"/>
              </w:rPr>
              <w:t>皮肤黑色素瘤 （2024.V2)</w:t>
            </w:r>
          </w:p>
        </w:tc>
        <w:tc>
          <w:tcPr>
            <w:tcW w:w="234" w:type="pct"/>
          </w:tcPr>
          <w:p>
            <w:pPr>
              <w:pStyle w:val="8"/>
              <w:spacing w:before="60" w:line="203" w:lineRule="auto"/>
              <w:ind w:left="24" w:right="107" w:firstLine="5"/>
              <w:rPr>
                <w:highlight w:val="none"/>
              </w:rPr>
            </w:pPr>
            <w:r>
              <w:rPr>
                <w:rFonts w:hint="eastAsia"/>
                <w:highlight w:val="none"/>
                <w:lang w:eastAsia="zh-CN"/>
              </w:rPr>
              <w:t>否</w:t>
            </w:r>
          </w:p>
        </w:tc>
        <w:tc>
          <w:tcPr>
            <w:tcW w:w="568" w:type="pct"/>
          </w:tcPr>
          <w:p>
            <w:pPr>
              <w:pStyle w:val="8"/>
              <w:spacing w:before="60" w:line="203" w:lineRule="auto"/>
              <w:ind w:left="24" w:right="107" w:firstLine="5"/>
              <w:rPr>
                <w:highlight w:val="none"/>
              </w:rPr>
            </w:pPr>
            <w:r>
              <w:rPr>
                <w:rFonts w:hint="eastAsia"/>
                <w:highlight w:val="none"/>
                <w:lang w:eastAsia="zh-CN"/>
              </w:rPr>
              <w:t>是，福建省肿瘤医院</w:t>
            </w:r>
          </w:p>
        </w:tc>
        <w:tc>
          <w:tcPr>
            <w:tcW w:w="365" w:type="pct"/>
            <w:vAlign w:val="center"/>
          </w:tcPr>
          <w:p>
            <w:pPr>
              <w:pStyle w:val="8"/>
              <w:spacing w:before="1" w:line="188" w:lineRule="auto"/>
              <w:ind w:left="25" w:right="45" w:firstLine="11"/>
              <w:jc w:val="both"/>
              <w:rPr>
                <w:highlight w:val="none"/>
                <w:lang w:eastAsia="zh-CN"/>
              </w:rPr>
            </w:pPr>
            <w:r>
              <w:rPr>
                <w:rFonts w:hint="eastAsia"/>
                <w:highlight w:val="none"/>
                <w:lang w:eastAsia="zh-CN"/>
              </w:rPr>
              <w:t>1</w:t>
            </w:r>
            <w:r>
              <w:rPr>
                <w:rFonts w:hint="eastAsia"/>
                <w:highlight w:val="none"/>
                <w:lang w:val="en-US" w:eastAsia="zh-CN"/>
              </w:rPr>
              <w:t>5</w:t>
            </w:r>
            <w:r>
              <w:rPr>
                <w:rFonts w:hint="eastAsia"/>
                <w:highlight w:val="none"/>
                <w:lang w:eastAsia="zh-CN"/>
              </w:rPr>
              <w:t>00</w:t>
            </w:r>
          </w:p>
        </w:tc>
      </w:tr>
    </w:tbl>
    <w:p/>
    <w:p>
      <w:pPr>
        <w:sectPr>
          <w:footerReference r:id="rId6" w:type="default"/>
          <w:pgSz w:w="16837" w:h="11905"/>
          <w:pgMar w:top="400" w:right="531" w:bottom="403" w:left="393" w:header="0" w:footer="238" w:gutter="0"/>
          <w:cols w:space="720" w:num="1"/>
        </w:sectPr>
      </w:pPr>
    </w:p>
    <w:p>
      <w:pPr>
        <w:spacing w:line="48" w:lineRule="exact"/>
      </w:pPr>
    </w:p>
    <w:tbl>
      <w:tblPr>
        <w:tblStyle w:val="7"/>
        <w:tblW w:w="4712"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38"/>
        <w:gridCol w:w="590"/>
        <w:gridCol w:w="1288"/>
        <w:gridCol w:w="1171"/>
        <w:gridCol w:w="482"/>
        <w:gridCol w:w="2852"/>
        <w:gridCol w:w="3636"/>
        <w:gridCol w:w="838"/>
        <w:gridCol w:w="2209"/>
        <w:gridCol w:w="16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atLeast"/>
        </w:trPr>
        <w:tc>
          <w:tcPr>
            <w:tcW w:w="112" w:type="pct"/>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序号</w:t>
            </w:r>
          </w:p>
        </w:tc>
        <w:tc>
          <w:tcPr>
            <w:tcW w:w="196" w:type="pct"/>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病种名称</w:t>
            </w:r>
          </w:p>
        </w:tc>
        <w:tc>
          <w:tcPr>
            <w:tcW w:w="429" w:type="pct"/>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对应检测基因</w:t>
            </w:r>
          </w:p>
        </w:tc>
        <w:tc>
          <w:tcPr>
            <w:tcW w:w="390" w:type="pct"/>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检测意义</w:t>
            </w:r>
          </w:p>
        </w:tc>
        <w:tc>
          <w:tcPr>
            <w:tcW w:w="160" w:type="pct"/>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指南推荐药物</w:t>
            </w:r>
          </w:p>
        </w:tc>
        <w:tc>
          <w:tcPr>
            <w:tcW w:w="950" w:type="pct"/>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基因检测适应症</w:t>
            </w:r>
          </w:p>
        </w:tc>
        <w:tc>
          <w:tcPr>
            <w:tcW w:w="1211" w:type="pct"/>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诊疗规范或指南依据</w:t>
            </w:r>
          </w:p>
        </w:tc>
        <w:tc>
          <w:tcPr>
            <w:tcW w:w="279" w:type="pct"/>
            <w:vAlign w:val="center"/>
          </w:tcPr>
          <w:p>
            <w:pPr>
              <w:spacing w:before="155" w:line="180" w:lineRule="exact"/>
              <w:ind w:left="192"/>
              <w:jc w:val="center"/>
              <w:rPr>
                <w:rFonts w:ascii="黑体" w:hAnsi="黑体" w:eastAsia="黑体" w:cs="黑体"/>
                <w:b/>
                <w:bCs/>
                <w:spacing w:val="1"/>
                <w:sz w:val="14"/>
                <w:szCs w:val="14"/>
              </w:rPr>
            </w:pPr>
            <w:r>
              <w:rPr>
                <w:rFonts w:hint="eastAsia" w:ascii="黑体" w:hAnsi="黑体" w:eastAsia="黑体" w:cs="黑体"/>
                <w:b/>
                <w:bCs/>
                <w:spacing w:val="1"/>
                <w:sz w:val="14"/>
                <w:szCs w:val="14"/>
                <w:lang w:eastAsia="zh-CN"/>
              </w:rPr>
              <w:t>是否本机构开展</w:t>
            </w:r>
          </w:p>
        </w:tc>
        <w:tc>
          <w:tcPr>
            <w:tcW w:w="736" w:type="pct"/>
            <w:vAlign w:val="center"/>
          </w:tcPr>
          <w:p>
            <w:pPr>
              <w:spacing w:before="155" w:line="180" w:lineRule="exact"/>
              <w:ind w:left="192"/>
              <w:jc w:val="center"/>
              <w:rPr>
                <w:rFonts w:ascii="黑体" w:hAnsi="黑体" w:eastAsia="黑体" w:cs="黑体"/>
                <w:b/>
                <w:bCs/>
                <w:spacing w:val="1"/>
                <w:sz w:val="14"/>
                <w:szCs w:val="14"/>
                <w:lang w:eastAsia="zh-CN"/>
              </w:rPr>
            </w:pPr>
            <w:r>
              <w:rPr>
                <w:rFonts w:hint="eastAsia" w:ascii="黑体" w:hAnsi="黑体" w:eastAsia="黑体" w:cs="黑体"/>
                <w:b/>
                <w:bCs/>
                <w:spacing w:val="1"/>
                <w:sz w:val="14"/>
                <w:szCs w:val="14"/>
                <w:lang w:eastAsia="zh-CN"/>
              </w:rPr>
              <w:t>是否外送，外送机构</w:t>
            </w:r>
          </w:p>
        </w:tc>
        <w:tc>
          <w:tcPr>
            <w:tcW w:w="533" w:type="pct"/>
            <w:vAlign w:val="center"/>
          </w:tcPr>
          <w:p>
            <w:pPr>
              <w:spacing w:before="155" w:line="180" w:lineRule="exact"/>
              <w:ind w:left="192"/>
              <w:jc w:val="center"/>
              <w:rPr>
                <w:rFonts w:ascii="黑体" w:hAnsi="黑体" w:eastAsia="黑体" w:cs="黑体"/>
                <w:b/>
                <w:bCs/>
                <w:spacing w:val="1"/>
                <w:sz w:val="14"/>
                <w:szCs w:val="14"/>
                <w:lang w:eastAsia="zh-CN"/>
              </w:rPr>
            </w:pPr>
            <w:r>
              <w:rPr>
                <w:rFonts w:hint="eastAsia" w:ascii="黑体" w:hAnsi="黑体" w:eastAsia="黑体" w:cs="黑体"/>
                <w:b/>
                <w:bCs/>
                <w:spacing w:val="1"/>
                <w:sz w:val="14"/>
                <w:szCs w:val="14"/>
                <w:lang w:eastAsia="zh-CN"/>
              </w:rPr>
              <w:t>价格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 w:hRule="atLeast"/>
        </w:trPr>
        <w:tc>
          <w:tcPr>
            <w:tcW w:w="112" w:type="pct"/>
            <w:vMerge w:val="restart"/>
            <w:tcBorders>
              <w:bottom w:val="nil"/>
            </w:tcBorders>
          </w:tcPr>
          <w:p>
            <w:pPr>
              <w:spacing w:line="241" w:lineRule="auto"/>
            </w:pPr>
          </w:p>
          <w:p>
            <w:pPr>
              <w:spacing w:line="241" w:lineRule="auto"/>
            </w:pPr>
          </w:p>
          <w:p>
            <w:pPr>
              <w:spacing w:line="241" w:lineRule="auto"/>
            </w:pPr>
          </w:p>
          <w:p>
            <w:pPr>
              <w:spacing w:line="241" w:lineRule="auto"/>
            </w:pPr>
          </w:p>
          <w:p>
            <w:pPr>
              <w:spacing w:line="242" w:lineRule="auto"/>
            </w:pPr>
          </w:p>
          <w:p>
            <w:pPr>
              <w:spacing w:line="242" w:lineRule="auto"/>
            </w:pPr>
          </w:p>
          <w:p>
            <w:pPr>
              <w:spacing w:line="242" w:lineRule="auto"/>
            </w:pPr>
          </w:p>
          <w:p>
            <w:pPr>
              <w:spacing w:line="242" w:lineRule="auto"/>
            </w:pPr>
          </w:p>
          <w:p>
            <w:pPr>
              <w:pStyle w:val="8"/>
              <w:spacing w:before="60" w:line="177" w:lineRule="auto"/>
              <w:ind w:left="36"/>
            </w:pPr>
            <w:r>
              <w:rPr>
                <w:spacing w:val="-5"/>
              </w:rPr>
              <w:t>13</w:t>
            </w:r>
          </w:p>
        </w:tc>
        <w:tc>
          <w:tcPr>
            <w:tcW w:w="196" w:type="pct"/>
            <w:vMerge w:val="restart"/>
            <w:tcBorders>
              <w:bottom w:val="nil"/>
            </w:tcBorders>
          </w:tcPr>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pStyle w:val="8"/>
              <w:spacing w:before="60" w:line="187" w:lineRule="auto"/>
              <w:ind w:left="17"/>
            </w:pPr>
            <w:r>
              <w:rPr>
                <w:spacing w:val="3"/>
              </w:rPr>
              <w:t>软组织肿瘤</w:t>
            </w:r>
          </w:p>
        </w:tc>
        <w:tc>
          <w:tcPr>
            <w:tcW w:w="429" w:type="pct"/>
          </w:tcPr>
          <w:p>
            <w:pPr>
              <w:pStyle w:val="8"/>
              <w:spacing w:before="120" w:line="186" w:lineRule="auto"/>
              <w:ind w:left="29"/>
            </w:pPr>
            <w:r>
              <w:t>EWSR</w:t>
            </w:r>
            <w:r>
              <w:rPr>
                <w:spacing w:val="2"/>
              </w:rPr>
              <w:t>1基因</w:t>
            </w:r>
          </w:p>
        </w:tc>
        <w:tc>
          <w:tcPr>
            <w:tcW w:w="390" w:type="pct"/>
          </w:tcPr>
          <w:p>
            <w:pPr>
              <w:pStyle w:val="8"/>
              <w:spacing w:before="119" w:line="187" w:lineRule="auto"/>
              <w:ind w:left="27"/>
            </w:pPr>
            <w:r>
              <w:rPr>
                <w:spacing w:val="2"/>
              </w:rPr>
              <w:t>3.诊断和鉴别诊断</w:t>
            </w:r>
          </w:p>
        </w:tc>
        <w:tc>
          <w:tcPr>
            <w:tcW w:w="160" w:type="pct"/>
          </w:tcPr>
          <w:p>
            <w:pPr>
              <w:pStyle w:val="8"/>
              <w:spacing w:before="93" w:line="232" w:lineRule="auto"/>
              <w:ind w:left="15"/>
            </w:pPr>
            <w:r>
              <w:rPr>
                <w:spacing w:val="5"/>
              </w:rPr>
              <w:t>/</w:t>
            </w:r>
          </w:p>
        </w:tc>
        <w:tc>
          <w:tcPr>
            <w:tcW w:w="950" w:type="pct"/>
          </w:tcPr>
          <w:p>
            <w:pPr>
              <w:pStyle w:val="8"/>
              <w:spacing w:before="119" w:line="187" w:lineRule="auto"/>
              <w:ind w:left="23"/>
              <w:rPr>
                <w:lang w:eastAsia="zh-CN"/>
              </w:rPr>
            </w:pPr>
            <w:r>
              <w:rPr>
                <w:spacing w:val="4"/>
                <w:lang w:eastAsia="zh-CN"/>
              </w:rPr>
              <w:t>协助诊断</w:t>
            </w:r>
            <w:r>
              <w:rPr>
                <w:lang w:eastAsia="zh-CN"/>
              </w:rPr>
              <w:t>EWSR</w:t>
            </w:r>
            <w:r>
              <w:rPr>
                <w:spacing w:val="4"/>
                <w:lang w:eastAsia="zh-CN"/>
              </w:rPr>
              <w:t>1融合相关亚型肉瘤</w:t>
            </w:r>
          </w:p>
        </w:tc>
        <w:tc>
          <w:tcPr>
            <w:tcW w:w="1211" w:type="pct"/>
          </w:tcPr>
          <w:p>
            <w:pPr>
              <w:pStyle w:val="8"/>
              <w:spacing w:before="23" w:line="177" w:lineRule="auto"/>
              <w:ind w:left="21" w:right="391" w:firstLine="9"/>
              <w:rPr>
                <w:lang w:eastAsia="zh-CN"/>
              </w:rPr>
            </w:pPr>
            <w:r>
              <w:rPr>
                <w:lang w:eastAsia="zh-CN"/>
              </w:rPr>
              <w:t>CSCO</w:t>
            </w:r>
            <w:r>
              <w:rPr>
                <w:spacing w:val="3"/>
                <w:lang w:eastAsia="zh-CN"/>
              </w:rPr>
              <w:t>骨与软组织肿瘤诊疗指南2023</w:t>
            </w:r>
            <w:r>
              <w:rPr>
                <w:spacing w:val="11"/>
                <w:w w:val="101"/>
                <w:lang w:eastAsia="zh-CN"/>
              </w:rPr>
              <w:t xml:space="preserve"> </w:t>
            </w:r>
            <w:r>
              <w:rPr>
                <w:spacing w:val="1"/>
                <w:lang w:eastAsia="zh-CN"/>
              </w:rPr>
              <w:t>/</w:t>
            </w:r>
            <w:r>
              <w:rPr>
                <w:lang w:eastAsia="zh-CN"/>
              </w:rPr>
              <w:t>NCCN</w:t>
            </w:r>
            <w:r>
              <w:rPr>
                <w:spacing w:val="1"/>
                <w:lang w:eastAsia="zh-CN"/>
              </w:rPr>
              <w:t>指南软组织肿瘤 （2024.V1)</w:t>
            </w:r>
          </w:p>
        </w:tc>
        <w:tc>
          <w:tcPr>
            <w:tcW w:w="279" w:type="pct"/>
          </w:tcPr>
          <w:p>
            <w:pPr>
              <w:pStyle w:val="8"/>
              <w:spacing w:before="23" w:line="177" w:lineRule="auto"/>
              <w:ind w:left="21" w:right="391" w:firstLine="9"/>
              <w:rPr>
                <w:lang w:eastAsia="zh-CN"/>
              </w:rPr>
            </w:pPr>
            <w:r>
              <w:rPr>
                <w:rFonts w:hint="eastAsia"/>
                <w:lang w:eastAsia="zh-CN"/>
              </w:rPr>
              <w:t>否</w:t>
            </w:r>
          </w:p>
        </w:tc>
        <w:tc>
          <w:tcPr>
            <w:tcW w:w="736" w:type="pct"/>
          </w:tcPr>
          <w:p>
            <w:pPr>
              <w:pStyle w:val="8"/>
              <w:spacing w:before="23" w:line="177" w:lineRule="auto"/>
              <w:ind w:left="21" w:right="391" w:firstLine="9"/>
            </w:pPr>
            <w:r>
              <w:rPr>
                <w:rFonts w:hint="eastAsia"/>
                <w:lang w:eastAsia="zh-CN"/>
              </w:rPr>
              <w:t>是，福建省肿瘤医院</w:t>
            </w:r>
          </w:p>
        </w:tc>
        <w:tc>
          <w:tcPr>
            <w:tcW w:w="533" w:type="pct"/>
            <w:vAlign w:val="top"/>
          </w:tcPr>
          <w:p>
            <w:pPr>
              <w:pStyle w:val="8"/>
              <w:spacing w:before="218" w:line="160" w:lineRule="exact"/>
              <w:ind w:left="30" w:leftChars="0"/>
              <w:rPr>
                <w:lang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 w:hRule="atLeast"/>
        </w:trPr>
        <w:tc>
          <w:tcPr>
            <w:tcW w:w="112" w:type="pct"/>
            <w:vMerge w:val="continue"/>
            <w:tcBorders>
              <w:top w:val="nil"/>
              <w:bottom w:val="nil"/>
            </w:tcBorders>
          </w:tcPr>
          <w:p/>
        </w:tc>
        <w:tc>
          <w:tcPr>
            <w:tcW w:w="196" w:type="pct"/>
            <w:vMerge w:val="continue"/>
            <w:tcBorders>
              <w:top w:val="nil"/>
              <w:bottom w:val="nil"/>
            </w:tcBorders>
          </w:tcPr>
          <w:p/>
        </w:tc>
        <w:tc>
          <w:tcPr>
            <w:tcW w:w="429" w:type="pct"/>
          </w:tcPr>
          <w:p>
            <w:pPr>
              <w:pStyle w:val="8"/>
              <w:spacing w:before="120" w:line="186" w:lineRule="auto"/>
              <w:ind w:left="24"/>
            </w:pPr>
            <w:r>
              <w:t>SYT</w:t>
            </w:r>
            <w:r>
              <w:rPr>
                <w:spacing w:val="2"/>
              </w:rPr>
              <w:t>基因</w:t>
            </w:r>
          </w:p>
        </w:tc>
        <w:tc>
          <w:tcPr>
            <w:tcW w:w="390" w:type="pct"/>
          </w:tcPr>
          <w:p>
            <w:pPr>
              <w:pStyle w:val="8"/>
              <w:spacing w:before="119" w:line="187" w:lineRule="auto"/>
              <w:ind w:left="27"/>
            </w:pPr>
            <w:r>
              <w:rPr>
                <w:spacing w:val="2"/>
              </w:rPr>
              <w:t>3.诊断和鉴别诊断</w:t>
            </w:r>
          </w:p>
        </w:tc>
        <w:tc>
          <w:tcPr>
            <w:tcW w:w="160" w:type="pct"/>
          </w:tcPr>
          <w:p>
            <w:pPr>
              <w:pStyle w:val="8"/>
              <w:spacing w:before="93" w:line="232" w:lineRule="auto"/>
              <w:ind w:left="15"/>
            </w:pPr>
            <w:r>
              <w:rPr>
                <w:spacing w:val="5"/>
              </w:rPr>
              <w:t>/</w:t>
            </w:r>
          </w:p>
        </w:tc>
        <w:tc>
          <w:tcPr>
            <w:tcW w:w="950" w:type="pct"/>
          </w:tcPr>
          <w:p>
            <w:pPr>
              <w:pStyle w:val="8"/>
              <w:spacing w:before="120" w:line="187" w:lineRule="auto"/>
              <w:ind w:left="23"/>
              <w:rPr>
                <w:lang w:eastAsia="zh-CN"/>
              </w:rPr>
            </w:pPr>
            <w:r>
              <w:rPr>
                <w:spacing w:val="1"/>
                <w:lang w:eastAsia="zh-CN"/>
              </w:rPr>
              <w:t>免疫组化</w:t>
            </w:r>
            <w:r>
              <w:rPr>
                <w:lang w:eastAsia="zh-CN"/>
              </w:rPr>
              <w:t>SS</w:t>
            </w:r>
            <w:r>
              <w:rPr>
                <w:spacing w:val="1"/>
                <w:lang w:eastAsia="zh-CN"/>
              </w:rPr>
              <w:t>18-</w:t>
            </w:r>
            <w:r>
              <w:rPr>
                <w:lang w:eastAsia="zh-CN"/>
              </w:rPr>
              <w:t>SSX</w:t>
            </w:r>
            <w:r>
              <w:rPr>
                <w:spacing w:val="1"/>
                <w:lang w:eastAsia="zh-CN"/>
              </w:rPr>
              <w:t>阳性， 确诊滑膜肉瘤</w:t>
            </w:r>
          </w:p>
        </w:tc>
        <w:tc>
          <w:tcPr>
            <w:tcW w:w="1211" w:type="pct"/>
          </w:tcPr>
          <w:p>
            <w:pPr>
              <w:pStyle w:val="8"/>
              <w:spacing w:before="23" w:line="177" w:lineRule="auto"/>
              <w:ind w:left="21" w:right="391" w:firstLine="9"/>
              <w:rPr>
                <w:lang w:eastAsia="zh-CN"/>
              </w:rPr>
            </w:pPr>
            <w:r>
              <w:rPr>
                <w:lang w:eastAsia="zh-CN"/>
              </w:rPr>
              <w:t>CSCO</w:t>
            </w:r>
            <w:r>
              <w:rPr>
                <w:spacing w:val="3"/>
                <w:lang w:eastAsia="zh-CN"/>
              </w:rPr>
              <w:t>骨与软组织肿瘤诊疗指南2023</w:t>
            </w:r>
            <w:r>
              <w:rPr>
                <w:spacing w:val="11"/>
                <w:w w:val="101"/>
                <w:lang w:eastAsia="zh-CN"/>
              </w:rPr>
              <w:t xml:space="preserve"> </w:t>
            </w:r>
            <w:r>
              <w:rPr>
                <w:spacing w:val="1"/>
                <w:lang w:eastAsia="zh-CN"/>
              </w:rPr>
              <w:t>/</w:t>
            </w:r>
            <w:r>
              <w:rPr>
                <w:lang w:eastAsia="zh-CN"/>
              </w:rPr>
              <w:t>NCCN</w:t>
            </w:r>
            <w:r>
              <w:rPr>
                <w:spacing w:val="1"/>
                <w:lang w:eastAsia="zh-CN"/>
              </w:rPr>
              <w:t>指南软组织肿瘤 （2024.V1)</w:t>
            </w:r>
          </w:p>
        </w:tc>
        <w:tc>
          <w:tcPr>
            <w:tcW w:w="279" w:type="pct"/>
          </w:tcPr>
          <w:p>
            <w:pPr>
              <w:pStyle w:val="8"/>
              <w:spacing w:before="23" w:line="177" w:lineRule="auto"/>
              <w:ind w:left="21" w:right="391" w:firstLine="9"/>
            </w:pPr>
            <w:r>
              <w:rPr>
                <w:rFonts w:hint="eastAsia"/>
                <w:lang w:eastAsia="zh-CN"/>
              </w:rPr>
              <w:t>否</w:t>
            </w:r>
          </w:p>
        </w:tc>
        <w:tc>
          <w:tcPr>
            <w:tcW w:w="736" w:type="pct"/>
          </w:tcPr>
          <w:p>
            <w:pPr>
              <w:pStyle w:val="8"/>
              <w:spacing w:before="23" w:line="177" w:lineRule="auto"/>
              <w:ind w:left="21" w:right="391" w:firstLine="9"/>
            </w:pPr>
            <w:r>
              <w:rPr>
                <w:rFonts w:hint="eastAsia"/>
                <w:lang w:eastAsia="zh-CN"/>
              </w:rPr>
              <w:t>是，福建省肿瘤医院</w:t>
            </w:r>
          </w:p>
        </w:tc>
        <w:tc>
          <w:tcPr>
            <w:tcW w:w="533" w:type="pct"/>
            <w:vAlign w:val="top"/>
          </w:tcPr>
          <w:p>
            <w:pPr>
              <w:pStyle w:val="8"/>
              <w:spacing w:before="218" w:line="160" w:lineRule="exact"/>
              <w:ind w:left="30" w:leftChars="0"/>
              <w:rPr>
                <w:lang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112" w:type="pct"/>
            <w:vMerge w:val="continue"/>
            <w:tcBorders>
              <w:top w:val="nil"/>
              <w:bottom w:val="nil"/>
            </w:tcBorders>
          </w:tcPr>
          <w:p/>
        </w:tc>
        <w:tc>
          <w:tcPr>
            <w:tcW w:w="196" w:type="pct"/>
            <w:vMerge w:val="continue"/>
            <w:tcBorders>
              <w:top w:val="nil"/>
              <w:bottom w:val="nil"/>
            </w:tcBorders>
          </w:tcPr>
          <w:p/>
        </w:tc>
        <w:tc>
          <w:tcPr>
            <w:tcW w:w="429" w:type="pct"/>
          </w:tcPr>
          <w:p>
            <w:pPr>
              <w:pStyle w:val="8"/>
              <w:spacing w:before="207" w:line="186" w:lineRule="auto"/>
              <w:ind w:left="29"/>
            </w:pPr>
            <w:r>
              <w:t>MDM</w:t>
            </w:r>
            <w:r>
              <w:rPr>
                <w:spacing w:val="2"/>
              </w:rPr>
              <w:t>2基因</w:t>
            </w:r>
          </w:p>
        </w:tc>
        <w:tc>
          <w:tcPr>
            <w:tcW w:w="390" w:type="pct"/>
          </w:tcPr>
          <w:p>
            <w:pPr>
              <w:pStyle w:val="8"/>
              <w:spacing w:before="206" w:line="187" w:lineRule="auto"/>
              <w:ind w:left="27"/>
            </w:pPr>
            <w:r>
              <w:rPr>
                <w:spacing w:val="2"/>
              </w:rPr>
              <w:t>3.诊断和鉴别诊断</w:t>
            </w:r>
          </w:p>
        </w:tc>
        <w:tc>
          <w:tcPr>
            <w:tcW w:w="160" w:type="pct"/>
          </w:tcPr>
          <w:p>
            <w:pPr>
              <w:pStyle w:val="8"/>
              <w:spacing w:before="180" w:line="232" w:lineRule="auto"/>
              <w:ind w:left="15"/>
            </w:pPr>
            <w:r>
              <w:rPr>
                <w:spacing w:val="5"/>
              </w:rPr>
              <w:t>/</w:t>
            </w:r>
          </w:p>
        </w:tc>
        <w:tc>
          <w:tcPr>
            <w:tcW w:w="950" w:type="pct"/>
          </w:tcPr>
          <w:p>
            <w:pPr>
              <w:pStyle w:val="8"/>
              <w:spacing w:before="1" w:line="197" w:lineRule="auto"/>
              <w:ind w:left="23" w:right="73"/>
              <w:jc w:val="both"/>
              <w:rPr>
                <w:sz w:val="13"/>
                <w:szCs w:val="13"/>
                <w:lang w:eastAsia="zh-CN"/>
              </w:rPr>
            </w:pPr>
            <w:r>
              <w:rPr>
                <w:sz w:val="13"/>
                <w:szCs w:val="13"/>
                <w:lang w:eastAsia="zh-CN"/>
              </w:rPr>
              <w:t>免疫组化MDM2阳性， 确诊高分化/去分化</w:t>
            </w:r>
            <w:r>
              <w:rPr>
                <w:spacing w:val="7"/>
                <w:sz w:val="13"/>
                <w:szCs w:val="13"/>
                <w:lang w:eastAsia="zh-CN"/>
              </w:rPr>
              <w:t xml:space="preserve"> </w:t>
            </w:r>
            <w:r>
              <w:rPr>
                <w:spacing w:val="2"/>
                <w:sz w:val="13"/>
                <w:szCs w:val="13"/>
                <w:lang w:eastAsia="zh-CN"/>
              </w:rPr>
              <w:t>脂肪肉瘤、低级别中央型/骨旁骨肉瘤、动  脉内膜肉瘤</w:t>
            </w:r>
          </w:p>
        </w:tc>
        <w:tc>
          <w:tcPr>
            <w:tcW w:w="1211" w:type="pct"/>
          </w:tcPr>
          <w:p>
            <w:pPr>
              <w:pStyle w:val="8"/>
              <w:spacing w:before="103" w:line="204" w:lineRule="auto"/>
              <w:ind w:left="21" w:right="391" w:firstLine="9"/>
              <w:rPr>
                <w:lang w:eastAsia="zh-CN"/>
              </w:rPr>
            </w:pPr>
            <w:r>
              <w:rPr>
                <w:lang w:eastAsia="zh-CN"/>
              </w:rPr>
              <w:t>CSCO</w:t>
            </w:r>
            <w:r>
              <w:rPr>
                <w:spacing w:val="3"/>
                <w:lang w:eastAsia="zh-CN"/>
              </w:rPr>
              <w:t>骨与软组织肿瘤诊疗指南2023</w:t>
            </w:r>
            <w:r>
              <w:rPr>
                <w:spacing w:val="11"/>
                <w:w w:val="101"/>
                <w:lang w:eastAsia="zh-CN"/>
              </w:rPr>
              <w:t xml:space="preserve"> </w:t>
            </w:r>
            <w:r>
              <w:rPr>
                <w:spacing w:val="1"/>
                <w:lang w:eastAsia="zh-CN"/>
              </w:rPr>
              <w:t>/</w:t>
            </w:r>
            <w:r>
              <w:rPr>
                <w:lang w:eastAsia="zh-CN"/>
              </w:rPr>
              <w:t>NCCN</w:t>
            </w:r>
            <w:r>
              <w:rPr>
                <w:spacing w:val="1"/>
                <w:lang w:eastAsia="zh-CN"/>
              </w:rPr>
              <w:t>指南软组织肿瘤 （2024.V1)</w:t>
            </w:r>
          </w:p>
        </w:tc>
        <w:tc>
          <w:tcPr>
            <w:tcW w:w="279" w:type="pct"/>
          </w:tcPr>
          <w:p>
            <w:pPr>
              <w:pStyle w:val="8"/>
              <w:spacing w:before="23" w:line="177" w:lineRule="auto"/>
              <w:ind w:left="21" w:right="391" w:firstLine="9"/>
            </w:pPr>
            <w:r>
              <w:rPr>
                <w:rFonts w:hint="eastAsia"/>
                <w:lang w:eastAsia="zh-CN"/>
              </w:rPr>
              <w:t>否</w:t>
            </w:r>
          </w:p>
        </w:tc>
        <w:tc>
          <w:tcPr>
            <w:tcW w:w="736" w:type="pct"/>
          </w:tcPr>
          <w:p>
            <w:pPr>
              <w:pStyle w:val="8"/>
              <w:spacing w:before="23" w:line="177" w:lineRule="auto"/>
              <w:ind w:left="21" w:right="391" w:firstLine="9"/>
            </w:pPr>
            <w:r>
              <w:rPr>
                <w:rFonts w:hint="eastAsia"/>
                <w:lang w:eastAsia="zh-CN"/>
              </w:rPr>
              <w:t>是，福建省肿瘤医院</w:t>
            </w:r>
          </w:p>
        </w:tc>
        <w:tc>
          <w:tcPr>
            <w:tcW w:w="533" w:type="pct"/>
            <w:vAlign w:val="top"/>
          </w:tcPr>
          <w:p>
            <w:pPr>
              <w:pStyle w:val="8"/>
              <w:spacing w:before="218" w:line="160" w:lineRule="exact"/>
              <w:ind w:left="30" w:leftChars="0"/>
              <w:rPr>
                <w:lang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1" w:hRule="atLeast"/>
        </w:trPr>
        <w:tc>
          <w:tcPr>
            <w:tcW w:w="112" w:type="pct"/>
            <w:vMerge w:val="continue"/>
            <w:tcBorders>
              <w:top w:val="nil"/>
              <w:bottom w:val="nil"/>
            </w:tcBorders>
          </w:tcPr>
          <w:p/>
        </w:tc>
        <w:tc>
          <w:tcPr>
            <w:tcW w:w="196" w:type="pct"/>
            <w:vMerge w:val="continue"/>
            <w:tcBorders>
              <w:top w:val="nil"/>
              <w:bottom w:val="nil"/>
            </w:tcBorders>
          </w:tcPr>
          <w:p/>
        </w:tc>
        <w:tc>
          <w:tcPr>
            <w:tcW w:w="429" w:type="pct"/>
          </w:tcPr>
          <w:p>
            <w:pPr>
              <w:pStyle w:val="8"/>
              <w:spacing w:before="131" w:line="178" w:lineRule="auto"/>
              <w:ind w:left="17"/>
            </w:pPr>
            <w:r>
              <w:rPr>
                <w:spacing w:val="-4"/>
              </w:rPr>
              <w:t>ALK，</w:t>
            </w:r>
            <w:r>
              <w:rPr>
                <w:spacing w:val="11"/>
              </w:rPr>
              <w:t xml:space="preserve"> </w:t>
            </w:r>
            <w:r>
              <w:rPr>
                <w:spacing w:val="-4"/>
              </w:rPr>
              <w:t>ROS-1</w:t>
            </w:r>
          </w:p>
        </w:tc>
        <w:tc>
          <w:tcPr>
            <w:tcW w:w="390" w:type="pct"/>
          </w:tcPr>
          <w:p>
            <w:pPr>
              <w:pStyle w:val="8"/>
              <w:spacing w:before="122" w:line="187" w:lineRule="auto"/>
              <w:ind w:left="27"/>
            </w:pPr>
            <w:r>
              <w:rPr>
                <w:spacing w:val="2"/>
              </w:rPr>
              <w:t>3.诊断和鉴别诊断</w:t>
            </w:r>
          </w:p>
        </w:tc>
        <w:tc>
          <w:tcPr>
            <w:tcW w:w="160" w:type="pct"/>
          </w:tcPr>
          <w:p>
            <w:pPr>
              <w:pStyle w:val="8"/>
              <w:spacing w:before="95" w:line="232" w:lineRule="auto"/>
              <w:ind w:left="15"/>
            </w:pPr>
            <w:r>
              <w:rPr>
                <w:spacing w:val="5"/>
              </w:rPr>
              <w:t>/</w:t>
            </w:r>
          </w:p>
        </w:tc>
        <w:tc>
          <w:tcPr>
            <w:tcW w:w="950" w:type="pct"/>
          </w:tcPr>
          <w:p>
            <w:pPr>
              <w:pStyle w:val="8"/>
              <w:spacing w:before="25" w:line="176" w:lineRule="auto"/>
              <w:ind w:left="23" w:right="41"/>
              <w:rPr>
                <w:lang w:eastAsia="zh-CN"/>
              </w:rPr>
            </w:pPr>
            <w:r>
              <w:rPr>
                <w:spacing w:val="1"/>
                <w:lang w:eastAsia="zh-CN"/>
              </w:rPr>
              <w:t>免疫组化</w:t>
            </w:r>
            <w:r>
              <w:rPr>
                <w:lang w:eastAsia="zh-CN"/>
              </w:rPr>
              <w:t>ALK</w:t>
            </w:r>
            <w:r>
              <w:rPr>
                <w:spacing w:val="1"/>
                <w:lang w:eastAsia="zh-CN"/>
              </w:rPr>
              <w:t>或</w:t>
            </w:r>
            <w:r>
              <w:rPr>
                <w:lang w:eastAsia="zh-CN"/>
              </w:rPr>
              <w:t>ROS</w:t>
            </w:r>
            <w:r>
              <w:rPr>
                <w:spacing w:val="1"/>
                <w:lang w:eastAsia="zh-CN"/>
              </w:rPr>
              <w:t>1阳性， 确诊炎性肌</w:t>
            </w:r>
            <w:r>
              <w:rPr>
                <w:spacing w:val="8"/>
                <w:lang w:eastAsia="zh-CN"/>
              </w:rPr>
              <w:t xml:space="preserve"> </w:t>
            </w:r>
            <w:r>
              <w:rPr>
                <w:lang w:eastAsia="zh-CN"/>
              </w:rPr>
              <w:t>纤维母细胞肿瘤； 靶向治疗</w:t>
            </w:r>
          </w:p>
        </w:tc>
        <w:tc>
          <w:tcPr>
            <w:tcW w:w="1211" w:type="pct"/>
          </w:tcPr>
          <w:p>
            <w:pPr>
              <w:pStyle w:val="8"/>
              <w:spacing w:before="25" w:line="176" w:lineRule="auto"/>
              <w:ind w:left="21" w:right="391" w:firstLine="9"/>
              <w:rPr>
                <w:lang w:eastAsia="zh-CN"/>
              </w:rPr>
            </w:pPr>
            <w:r>
              <w:rPr>
                <w:lang w:eastAsia="zh-CN"/>
              </w:rPr>
              <w:t>CSCO</w:t>
            </w:r>
            <w:r>
              <w:rPr>
                <w:spacing w:val="3"/>
                <w:lang w:eastAsia="zh-CN"/>
              </w:rPr>
              <w:t>骨与软组织肿瘤诊疗指南2023</w:t>
            </w:r>
            <w:r>
              <w:rPr>
                <w:spacing w:val="11"/>
                <w:w w:val="101"/>
                <w:lang w:eastAsia="zh-CN"/>
              </w:rPr>
              <w:t xml:space="preserve"> </w:t>
            </w:r>
            <w:r>
              <w:rPr>
                <w:spacing w:val="1"/>
                <w:lang w:eastAsia="zh-CN"/>
              </w:rPr>
              <w:t>/</w:t>
            </w:r>
            <w:r>
              <w:rPr>
                <w:lang w:eastAsia="zh-CN"/>
              </w:rPr>
              <w:t>NCCN</w:t>
            </w:r>
            <w:r>
              <w:rPr>
                <w:spacing w:val="1"/>
                <w:lang w:eastAsia="zh-CN"/>
              </w:rPr>
              <w:t>指南软组织肿瘤 （2024.V1)</w:t>
            </w:r>
          </w:p>
        </w:tc>
        <w:tc>
          <w:tcPr>
            <w:tcW w:w="279" w:type="pct"/>
          </w:tcPr>
          <w:p>
            <w:pPr>
              <w:pStyle w:val="8"/>
              <w:spacing w:before="23" w:line="177" w:lineRule="auto"/>
              <w:ind w:left="21" w:right="391" w:firstLine="9"/>
            </w:pPr>
            <w:r>
              <w:rPr>
                <w:rFonts w:hint="eastAsia"/>
                <w:lang w:eastAsia="zh-CN"/>
              </w:rPr>
              <w:t>否</w:t>
            </w:r>
          </w:p>
        </w:tc>
        <w:tc>
          <w:tcPr>
            <w:tcW w:w="736" w:type="pct"/>
          </w:tcPr>
          <w:p>
            <w:pPr>
              <w:pStyle w:val="8"/>
              <w:spacing w:before="23" w:line="177" w:lineRule="auto"/>
              <w:ind w:left="21" w:right="391" w:firstLine="9"/>
            </w:pPr>
            <w:r>
              <w:rPr>
                <w:rFonts w:hint="eastAsia"/>
                <w:lang w:eastAsia="zh-CN"/>
              </w:rPr>
              <w:t>是，福建省肿瘤医院</w:t>
            </w:r>
          </w:p>
        </w:tc>
        <w:tc>
          <w:tcPr>
            <w:tcW w:w="533" w:type="pct"/>
            <w:vAlign w:val="top"/>
          </w:tcPr>
          <w:p>
            <w:pPr>
              <w:pStyle w:val="8"/>
              <w:spacing w:before="218" w:line="160" w:lineRule="exact"/>
              <w:ind w:left="30" w:leftChars="0"/>
              <w:rPr>
                <w:lang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112" w:type="pct"/>
            <w:vMerge w:val="continue"/>
            <w:tcBorders>
              <w:top w:val="nil"/>
              <w:bottom w:val="nil"/>
            </w:tcBorders>
          </w:tcPr>
          <w:p/>
        </w:tc>
        <w:tc>
          <w:tcPr>
            <w:tcW w:w="196" w:type="pct"/>
            <w:vMerge w:val="continue"/>
            <w:tcBorders>
              <w:top w:val="nil"/>
              <w:bottom w:val="nil"/>
            </w:tcBorders>
          </w:tcPr>
          <w:p/>
        </w:tc>
        <w:tc>
          <w:tcPr>
            <w:tcW w:w="429" w:type="pct"/>
          </w:tcPr>
          <w:p>
            <w:pPr>
              <w:pStyle w:val="8"/>
              <w:spacing w:before="231" w:line="177" w:lineRule="auto"/>
              <w:ind w:left="28"/>
            </w:pPr>
            <w:r>
              <w:rPr>
                <w:spacing w:val="-1"/>
              </w:rPr>
              <w:t>USP6</w:t>
            </w:r>
          </w:p>
        </w:tc>
        <w:tc>
          <w:tcPr>
            <w:tcW w:w="390" w:type="pct"/>
          </w:tcPr>
          <w:p>
            <w:pPr>
              <w:pStyle w:val="8"/>
              <w:spacing w:before="221" w:line="187" w:lineRule="auto"/>
              <w:ind w:left="27"/>
            </w:pPr>
            <w:r>
              <w:rPr>
                <w:spacing w:val="2"/>
              </w:rPr>
              <w:t>3.诊断和鉴别诊断</w:t>
            </w:r>
          </w:p>
        </w:tc>
        <w:tc>
          <w:tcPr>
            <w:tcW w:w="160" w:type="pct"/>
          </w:tcPr>
          <w:p>
            <w:pPr>
              <w:pStyle w:val="8"/>
              <w:spacing w:before="195" w:line="232" w:lineRule="auto"/>
              <w:ind w:left="15"/>
            </w:pPr>
            <w:r>
              <w:rPr>
                <w:spacing w:val="5"/>
              </w:rPr>
              <w:t>/</w:t>
            </w:r>
          </w:p>
        </w:tc>
        <w:tc>
          <w:tcPr>
            <w:tcW w:w="950" w:type="pct"/>
          </w:tcPr>
          <w:p>
            <w:pPr>
              <w:pStyle w:val="8"/>
              <w:spacing w:before="27" w:line="182" w:lineRule="auto"/>
              <w:ind w:left="23" w:right="108" w:hanging="1"/>
              <w:jc w:val="both"/>
              <w:rPr>
                <w:lang w:eastAsia="zh-CN"/>
              </w:rPr>
            </w:pPr>
            <w:r>
              <w:rPr>
                <w:spacing w:val="3"/>
                <w:lang w:eastAsia="zh-CN"/>
              </w:rPr>
              <w:t>确诊原发性动脉瘤样骨囊肿、结节性筋</w:t>
            </w:r>
            <w:r>
              <w:rPr>
                <w:spacing w:val="15"/>
                <w:lang w:eastAsia="zh-CN"/>
              </w:rPr>
              <w:t xml:space="preserve"> </w:t>
            </w:r>
            <w:r>
              <w:rPr>
                <w:spacing w:val="3"/>
                <w:lang w:eastAsia="zh-CN"/>
              </w:rPr>
              <w:t>膜炎、骨化性肌炎、富于细胞性腱鞘纤</w:t>
            </w:r>
            <w:r>
              <w:rPr>
                <w:spacing w:val="14"/>
                <w:lang w:eastAsia="zh-CN"/>
              </w:rPr>
              <w:t xml:space="preserve"> </w:t>
            </w:r>
            <w:r>
              <w:rPr>
                <w:spacing w:val="3"/>
                <w:lang w:eastAsia="zh-CN"/>
              </w:rPr>
              <w:t>维瘤等</w:t>
            </w:r>
          </w:p>
        </w:tc>
        <w:tc>
          <w:tcPr>
            <w:tcW w:w="1211" w:type="pct"/>
          </w:tcPr>
          <w:p>
            <w:pPr>
              <w:pStyle w:val="8"/>
              <w:spacing w:before="118" w:line="204" w:lineRule="auto"/>
              <w:ind w:left="21" w:right="391" w:firstLine="9"/>
              <w:rPr>
                <w:lang w:eastAsia="zh-CN"/>
              </w:rPr>
            </w:pPr>
            <w:r>
              <w:rPr>
                <w:lang w:eastAsia="zh-CN"/>
              </w:rPr>
              <w:t>CSCO</w:t>
            </w:r>
            <w:r>
              <w:rPr>
                <w:spacing w:val="3"/>
                <w:lang w:eastAsia="zh-CN"/>
              </w:rPr>
              <w:t>骨与软组织肿瘤诊疗指南2023</w:t>
            </w:r>
            <w:r>
              <w:rPr>
                <w:spacing w:val="11"/>
                <w:w w:val="101"/>
                <w:lang w:eastAsia="zh-CN"/>
              </w:rPr>
              <w:t xml:space="preserve"> </w:t>
            </w:r>
            <w:r>
              <w:rPr>
                <w:spacing w:val="1"/>
                <w:lang w:eastAsia="zh-CN"/>
              </w:rPr>
              <w:t>/</w:t>
            </w:r>
            <w:r>
              <w:rPr>
                <w:lang w:eastAsia="zh-CN"/>
              </w:rPr>
              <w:t>NCCN</w:t>
            </w:r>
            <w:r>
              <w:rPr>
                <w:spacing w:val="1"/>
                <w:lang w:eastAsia="zh-CN"/>
              </w:rPr>
              <w:t>指南软组织肿瘤 （2024.V1)</w:t>
            </w:r>
          </w:p>
        </w:tc>
        <w:tc>
          <w:tcPr>
            <w:tcW w:w="279" w:type="pct"/>
          </w:tcPr>
          <w:p>
            <w:pPr>
              <w:pStyle w:val="8"/>
              <w:spacing w:before="23" w:line="177" w:lineRule="auto"/>
              <w:ind w:left="21" w:right="391" w:firstLine="9"/>
            </w:pPr>
            <w:r>
              <w:rPr>
                <w:rFonts w:hint="eastAsia"/>
                <w:lang w:eastAsia="zh-CN"/>
              </w:rPr>
              <w:t>否</w:t>
            </w:r>
          </w:p>
        </w:tc>
        <w:tc>
          <w:tcPr>
            <w:tcW w:w="736" w:type="pct"/>
          </w:tcPr>
          <w:p>
            <w:pPr>
              <w:pStyle w:val="8"/>
              <w:spacing w:before="23" w:line="177" w:lineRule="auto"/>
              <w:ind w:left="21" w:right="391" w:firstLine="9"/>
            </w:pPr>
            <w:r>
              <w:rPr>
                <w:rFonts w:hint="eastAsia"/>
                <w:lang w:eastAsia="zh-CN"/>
              </w:rPr>
              <w:t>是，福建省肿瘤医院</w:t>
            </w:r>
          </w:p>
        </w:tc>
        <w:tc>
          <w:tcPr>
            <w:tcW w:w="533" w:type="pct"/>
            <w:vAlign w:val="top"/>
          </w:tcPr>
          <w:p>
            <w:pPr>
              <w:pStyle w:val="8"/>
              <w:spacing w:before="218" w:line="160" w:lineRule="exact"/>
              <w:ind w:left="30" w:leftChars="0"/>
              <w:rPr>
                <w:lang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trPr>
        <w:tc>
          <w:tcPr>
            <w:tcW w:w="112" w:type="pct"/>
            <w:vMerge w:val="continue"/>
            <w:tcBorders>
              <w:top w:val="nil"/>
              <w:bottom w:val="nil"/>
            </w:tcBorders>
          </w:tcPr>
          <w:p/>
        </w:tc>
        <w:tc>
          <w:tcPr>
            <w:tcW w:w="196" w:type="pct"/>
            <w:vMerge w:val="continue"/>
            <w:tcBorders>
              <w:top w:val="nil"/>
              <w:bottom w:val="nil"/>
            </w:tcBorders>
          </w:tcPr>
          <w:p/>
        </w:tc>
        <w:tc>
          <w:tcPr>
            <w:tcW w:w="429" w:type="pct"/>
          </w:tcPr>
          <w:p>
            <w:pPr>
              <w:pStyle w:val="8"/>
              <w:spacing w:before="134" w:line="177" w:lineRule="auto"/>
              <w:ind w:left="18"/>
            </w:pPr>
            <w:r>
              <w:t>TFE</w:t>
            </w:r>
            <w:r>
              <w:rPr>
                <w:spacing w:val="5"/>
              </w:rPr>
              <w:t>3</w:t>
            </w:r>
          </w:p>
        </w:tc>
        <w:tc>
          <w:tcPr>
            <w:tcW w:w="390" w:type="pct"/>
          </w:tcPr>
          <w:p>
            <w:pPr>
              <w:pStyle w:val="8"/>
              <w:spacing w:before="125" w:line="187" w:lineRule="auto"/>
              <w:ind w:left="27"/>
            </w:pPr>
            <w:r>
              <w:rPr>
                <w:spacing w:val="2"/>
              </w:rPr>
              <w:t>3.诊断和鉴别诊断</w:t>
            </w:r>
          </w:p>
        </w:tc>
        <w:tc>
          <w:tcPr>
            <w:tcW w:w="160" w:type="pct"/>
          </w:tcPr>
          <w:p>
            <w:pPr>
              <w:pStyle w:val="8"/>
              <w:spacing w:before="99" w:line="232" w:lineRule="auto"/>
              <w:ind w:left="15"/>
            </w:pPr>
            <w:r>
              <w:rPr>
                <w:spacing w:val="5"/>
              </w:rPr>
              <w:t>/</w:t>
            </w:r>
          </w:p>
        </w:tc>
        <w:tc>
          <w:tcPr>
            <w:tcW w:w="950" w:type="pct"/>
          </w:tcPr>
          <w:p>
            <w:pPr>
              <w:pStyle w:val="8"/>
              <w:spacing w:before="29" w:line="174" w:lineRule="auto"/>
              <w:ind w:left="33" w:right="74" w:hanging="10"/>
              <w:rPr>
                <w:lang w:eastAsia="zh-CN"/>
              </w:rPr>
            </w:pPr>
            <w:r>
              <w:rPr>
                <w:spacing w:val="1"/>
                <w:lang w:eastAsia="zh-CN"/>
              </w:rPr>
              <w:t>免疫组化</w:t>
            </w:r>
            <w:r>
              <w:rPr>
                <w:lang w:eastAsia="zh-CN"/>
              </w:rPr>
              <w:t>TFE</w:t>
            </w:r>
            <w:r>
              <w:rPr>
                <w:spacing w:val="1"/>
                <w:lang w:eastAsia="zh-CN"/>
              </w:rPr>
              <w:t>3阳性， 确诊腺泡状软组织</w:t>
            </w:r>
            <w:r>
              <w:rPr>
                <w:spacing w:val="6"/>
                <w:lang w:eastAsia="zh-CN"/>
              </w:rPr>
              <w:t xml:space="preserve"> </w:t>
            </w:r>
            <w:r>
              <w:rPr>
                <w:spacing w:val="-4"/>
                <w:lang w:eastAsia="zh-CN"/>
              </w:rPr>
              <w:t>肉瘤，</w:t>
            </w:r>
            <w:r>
              <w:rPr>
                <w:spacing w:val="15"/>
                <w:w w:val="101"/>
                <w:lang w:eastAsia="zh-CN"/>
              </w:rPr>
              <w:t xml:space="preserve"> </w:t>
            </w:r>
            <w:r>
              <w:rPr>
                <w:spacing w:val="-4"/>
                <w:lang w:eastAsia="zh-CN"/>
              </w:rPr>
              <w:t>PEcoma等</w:t>
            </w:r>
          </w:p>
        </w:tc>
        <w:tc>
          <w:tcPr>
            <w:tcW w:w="1211" w:type="pct"/>
          </w:tcPr>
          <w:p>
            <w:pPr>
              <w:pStyle w:val="8"/>
              <w:spacing w:before="29" w:line="174" w:lineRule="auto"/>
              <w:ind w:left="21" w:right="391" w:firstLine="9"/>
              <w:rPr>
                <w:lang w:eastAsia="zh-CN"/>
              </w:rPr>
            </w:pPr>
            <w:r>
              <w:rPr>
                <w:lang w:eastAsia="zh-CN"/>
              </w:rPr>
              <w:t>CSCO</w:t>
            </w:r>
            <w:r>
              <w:rPr>
                <w:spacing w:val="3"/>
                <w:lang w:eastAsia="zh-CN"/>
              </w:rPr>
              <w:t>骨与软组织肿瘤诊疗指南2023</w:t>
            </w:r>
            <w:r>
              <w:rPr>
                <w:spacing w:val="11"/>
                <w:w w:val="101"/>
                <w:lang w:eastAsia="zh-CN"/>
              </w:rPr>
              <w:t xml:space="preserve"> </w:t>
            </w:r>
            <w:r>
              <w:rPr>
                <w:spacing w:val="1"/>
                <w:lang w:eastAsia="zh-CN"/>
              </w:rPr>
              <w:t>/</w:t>
            </w:r>
            <w:r>
              <w:rPr>
                <w:lang w:eastAsia="zh-CN"/>
              </w:rPr>
              <w:t>NCCN</w:t>
            </w:r>
            <w:r>
              <w:rPr>
                <w:spacing w:val="1"/>
                <w:lang w:eastAsia="zh-CN"/>
              </w:rPr>
              <w:t>指南软组织肿瘤 （2024.V1)</w:t>
            </w:r>
          </w:p>
        </w:tc>
        <w:tc>
          <w:tcPr>
            <w:tcW w:w="279" w:type="pct"/>
          </w:tcPr>
          <w:p>
            <w:pPr>
              <w:pStyle w:val="8"/>
              <w:spacing w:before="23" w:line="177" w:lineRule="auto"/>
              <w:ind w:left="21" w:right="391" w:firstLine="9"/>
            </w:pPr>
            <w:r>
              <w:rPr>
                <w:rFonts w:hint="eastAsia"/>
                <w:lang w:eastAsia="zh-CN"/>
              </w:rPr>
              <w:t>否</w:t>
            </w:r>
          </w:p>
        </w:tc>
        <w:tc>
          <w:tcPr>
            <w:tcW w:w="736" w:type="pct"/>
          </w:tcPr>
          <w:p>
            <w:pPr>
              <w:pStyle w:val="8"/>
              <w:spacing w:before="23" w:line="177" w:lineRule="auto"/>
              <w:ind w:left="21" w:right="391" w:firstLine="9"/>
            </w:pPr>
            <w:r>
              <w:rPr>
                <w:rFonts w:hint="eastAsia"/>
                <w:lang w:eastAsia="zh-CN"/>
              </w:rPr>
              <w:t>是，福建省肿瘤医院</w:t>
            </w:r>
          </w:p>
        </w:tc>
        <w:tc>
          <w:tcPr>
            <w:tcW w:w="533" w:type="pct"/>
            <w:vAlign w:val="top"/>
          </w:tcPr>
          <w:p>
            <w:pPr>
              <w:pStyle w:val="8"/>
              <w:spacing w:before="218" w:line="160" w:lineRule="exact"/>
              <w:ind w:left="30" w:leftChars="0"/>
              <w:rPr>
                <w:lang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5" w:hRule="atLeast"/>
        </w:trPr>
        <w:tc>
          <w:tcPr>
            <w:tcW w:w="112" w:type="pct"/>
            <w:vMerge w:val="continue"/>
            <w:tcBorders>
              <w:top w:val="nil"/>
              <w:bottom w:val="nil"/>
            </w:tcBorders>
          </w:tcPr>
          <w:p/>
        </w:tc>
        <w:tc>
          <w:tcPr>
            <w:tcW w:w="196" w:type="pct"/>
            <w:vMerge w:val="continue"/>
            <w:tcBorders>
              <w:top w:val="nil"/>
              <w:bottom w:val="nil"/>
            </w:tcBorders>
          </w:tcPr>
          <w:p/>
        </w:tc>
        <w:tc>
          <w:tcPr>
            <w:tcW w:w="429" w:type="pct"/>
          </w:tcPr>
          <w:p>
            <w:pPr>
              <w:pStyle w:val="8"/>
              <w:spacing w:before="135" w:line="177" w:lineRule="auto"/>
              <w:ind w:left="29"/>
            </w:pPr>
            <w:r>
              <w:rPr>
                <w:spacing w:val="-2"/>
              </w:rPr>
              <w:t>MYC</w:t>
            </w:r>
          </w:p>
        </w:tc>
        <w:tc>
          <w:tcPr>
            <w:tcW w:w="390" w:type="pct"/>
          </w:tcPr>
          <w:p>
            <w:pPr>
              <w:pStyle w:val="8"/>
              <w:spacing w:before="126" w:line="187" w:lineRule="auto"/>
              <w:ind w:left="27"/>
            </w:pPr>
            <w:r>
              <w:rPr>
                <w:spacing w:val="2"/>
              </w:rPr>
              <w:t>3.诊断和鉴别诊断</w:t>
            </w:r>
          </w:p>
        </w:tc>
        <w:tc>
          <w:tcPr>
            <w:tcW w:w="160" w:type="pct"/>
          </w:tcPr>
          <w:p>
            <w:pPr>
              <w:pStyle w:val="8"/>
              <w:spacing w:before="100" w:line="232" w:lineRule="auto"/>
              <w:ind w:left="15"/>
            </w:pPr>
            <w:r>
              <w:rPr>
                <w:spacing w:val="5"/>
              </w:rPr>
              <w:t>/</w:t>
            </w:r>
          </w:p>
        </w:tc>
        <w:tc>
          <w:tcPr>
            <w:tcW w:w="950" w:type="pct"/>
          </w:tcPr>
          <w:p>
            <w:pPr>
              <w:pStyle w:val="8"/>
              <w:spacing w:before="29" w:line="174" w:lineRule="auto"/>
              <w:ind w:left="36" w:right="57" w:hanging="13"/>
              <w:rPr>
                <w:lang w:eastAsia="zh-CN"/>
              </w:rPr>
            </w:pPr>
            <w:r>
              <w:rPr>
                <w:spacing w:val="1"/>
                <w:lang w:eastAsia="zh-CN"/>
              </w:rPr>
              <w:t>免疫组化C-</w:t>
            </w:r>
            <w:r>
              <w:rPr>
                <w:lang w:eastAsia="zh-CN"/>
              </w:rPr>
              <w:t>MYC</w:t>
            </w:r>
            <w:r>
              <w:rPr>
                <w:spacing w:val="1"/>
                <w:lang w:eastAsia="zh-CN"/>
              </w:rPr>
              <w:t>阳性， 确诊放疗后和淋</w:t>
            </w:r>
            <w:r>
              <w:rPr>
                <w:spacing w:val="8"/>
                <w:lang w:eastAsia="zh-CN"/>
              </w:rPr>
              <w:t xml:space="preserve"> </w:t>
            </w:r>
            <w:r>
              <w:rPr>
                <w:spacing w:val="2"/>
                <w:lang w:eastAsia="zh-CN"/>
              </w:rPr>
              <w:t>巴水肿相关性血管肉瘤</w:t>
            </w:r>
          </w:p>
        </w:tc>
        <w:tc>
          <w:tcPr>
            <w:tcW w:w="1211" w:type="pct"/>
          </w:tcPr>
          <w:p>
            <w:pPr>
              <w:pStyle w:val="8"/>
              <w:spacing w:before="29" w:line="174" w:lineRule="auto"/>
              <w:ind w:left="21" w:right="391" w:firstLine="9"/>
              <w:rPr>
                <w:lang w:eastAsia="zh-CN"/>
              </w:rPr>
            </w:pPr>
            <w:r>
              <w:rPr>
                <w:lang w:eastAsia="zh-CN"/>
              </w:rPr>
              <w:t>CSCO</w:t>
            </w:r>
            <w:r>
              <w:rPr>
                <w:spacing w:val="3"/>
                <w:lang w:eastAsia="zh-CN"/>
              </w:rPr>
              <w:t>骨与软组织肿瘤诊疗指南2023</w:t>
            </w:r>
            <w:r>
              <w:rPr>
                <w:spacing w:val="11"/>
                <w:w w:val="101"/>
                <w:lang w:eastAsia="zh-CN"/>
              </w:rPr>
              <w:t xml:space="preserve"> </w:t>
            </w:r>
            <w:r>
              <w:rPr>
                <w:spacing w:val="1"/>
                <w:lang w:eastAsia="zh-CN"/>
              </w:rPr>
              <w:t>/</w:t>
            </w:r>
            <w:r>
              <w:rPr>
                <w:lang w:eastAsia="zh-CN"/>
              </w:rPr>
              <w:t>NCCN</w:t>
            </w:r>
            <w:r>
              <w:rPr>
                <w:spacing w:val="1"/>
                <w:lang w:eastAsia="zh-CN"/>
              </w:rPr>
              <w:t>指南软组织肿瘤 （2024.V1)</w:t>
            </w:r>
          </w:p>
        </w:tc>
        <w:tc>
          <w:tcPr>
            <w:tcW w:w="279" w:type="pct"/>
          </w:tcPr>
          <w:p>
            <w:pPr>
              <w:pStyle w:val="8"/>
              <w:spacing w:before="23" w:line="177" w:lineRule="auto"/>
              <w:ind w:left="21" w:right="391" w:firstLine="9"/>
            </w:pPr>
            <w:r>
              <w:rPr>
                <w:rFonts w:hint="eastAsia"/>
                <w:lang w:eastAsia="zh-CN"/>
              </w:rPr>
              <w:t>否</w:t>
            </w:r>
          </w:p>
        </w:tc>
        <w:tc>
          <w:tcPr>
            <w:tcW w:w="736" w:type="pct"/>
          </w:tcPr>
          <w:p>
            <w:pPr>
              <w:pStyle w:val="8"/>
              <w:spacing w:before="23" w:line="177" w:lineRule="auto"/>
              <w:ind w:left="21" w:right="391" w:firstLine="9"/>
            </w:pPr>
            <w:r>
              <w:rPr>
                <w:rFonts w:hint="eastAsia"/>
                <w:lang w:eastAsia="zh-CN"/>
              </w:rPr>
              <w:t>是，福建省肿瘤医院</w:t>
            </w:r>
          </w:p>
        </w:tc>
        <w:tc>
          <w:tcPr>
            <w:tcW w:w="533" w:type="pct"/>
            <w:vAlign w:val="top"/>
          </w:tcPr>
          <w:p>
            <w:pPr>
              <w:pStyle w:val="8"/>
              <w:spacing w:before="218" w:line="160" w:lineRule="exact"/>
              <w:ind w:left="30" w:leftChars="0"/>
              <w:rPr>
                <w:lang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4" w:hRule="atLeast"/>
        </w:trPr>
        <w:tc>
          <w:tcPr>
            <w:tcW w:w="112" w:type="pct"/>
            <w:vMerge w:val="continue"/>
            <w:tcBorders>
              <w:top w:val="nil"/>
              <w:bottom w:val="nil"/>
            </w:tcBorders>
          </w:tcPr>
          <w:p/>
        </w:tc>
        <w:tc>
          <w:tcPr>
            <w:tcW w:w="196" w:type="pct"/>
            <w:vMerge w:val="continue"/>
            <w:tcBorders>
              <w:top w:val="nil"/>
              <w:bottom w:val="nil"/>
            </w:tcBorders>
          </w:tcPr>
          <w:p/>
        </w:tc>
        <w:tc>
          <w:tcPr>
            <w:tcW w:w="429" w:type="pct"/>
          </w:tcPr>
          <w:p>
            <w:pPr>
              <w:pStyle w:val="8"/>
              <w:spacing w:before="99" w:line="231" w:lineRule="auto"/>
              <w:ind w:left="29"/>
            </w:pPr>
            <w:r>
              <w:rPr>
                <w:spacing w:val="-2"/>
              </w:rPr>
              <w:t>IDH1/2， CDKN2A</w:t>
            </w:r>
          </w:p>
        </w:tc>
        <w:tc>
          <w:tcPr>
            <w:tcW w:w="390" w:type="pct"/>
          </w:tcPr>
          <w:p>
            <w:pPr>
              <w:pStyle w:val="8"/>
              <w:spacing w:before="126" w:line="187" w:lineRule="auto"/>
              <w:ind w:left="27"/>
            </w:pPr>
            <w:r>
              <w:rPr>
                <w:spacing w:val="2"/>
              </w:rPr>
              <w:t>3.诊断和鉴别诊断</w:t>
            </w:r>
          </w:p>
        </w:tc>
        <w:tc>
          <w:tcPr>
            <w:tcW w:w="160" w:type="pct"/>
          </w:tcPr>
          <w:p>
            <w:pPr>
              <w:pStyle w:val="8"/>
              <w:spacing w:before="100" w:line="232" w:lineRule="auto"/>
              <w:ind w:left="15"/>
            </w:pPr>
            <w:r>
              <w:rPr>
                <w:spacing w:val="5"/>
              </w:rPr>
              <w:t>/</w:t>
            </w:r>
          </w:p>
        </w:tc>
        <w:tc>
          <w:tcPr>
            <w:tcW w:w="950" w:type="pct"/>
          </w:tcPr>
          <w:p>
            <w:pPr>
              <w:pStyle w:val="8"/>
              <w:spacing w:before="126" w:line="187" w:lineRule="auto"/>
              <w:ind w:left="22"/>
              <w:rPr>
                <w:lang w:eastAsia="zh-CN"/>
              </w:rPr>
            </w:pPr>
            <w:r>
              <w:rPr>
                <w:spacing w:val="3"/>
                <w:lang w:eastAsia="zh-CN"/>
              </w:rPr>
              <w:t>确诊软骨肿瘤及鉴别良恶性</w:t>
            </w:r>
          </w:p>
        </w:tc>
        <w:tc>
          <w:tcPr>
            <w:tcW w:w="1211" w:type="pct"/>
          </w:tcPr>
          <w:p>
            <w:pPr>
              <w:pStyle w:val="8"/>
              <w:spacing w:before="29" w:line="174" w:lineRule="auto"/>
              <w:ind w:left="21" w:right="391" w:firstLine="9"/>
              <w:rPr>
                <w:lang w:eastAsia="zh-CN"/>
              </w:rPr>
            </w:pPr>
            <w:r>
              <w:rPr>
                <w:lang w:eastAsia="zh-CN"/>
              </w:rPr>
              <w:t>CSCO</w:t>
            </w:r>
            <w:r>
              <w:rPr>
                <w:spacing w:val="3"/>
                <w:lang w:eastAsia="zh-CN"/>
              </w:rPr>
              <w:t>骨与软组织肿瘤诊疗指南2023</w:t>
            </w:r>
            <w:r>
              <w:rPr>
                <w:spacing w:val="11"/>
                <w:w w:val="101"/>
                <w:lang w:eastAsia="zh-CN"/>
              </w:rPr>
              <w:t xml:space="preserve"> </w:t>
            </w:r>
            <w:r>
              <w:rPr>
                <w:spacing w:val="1"/>
                <w:lang w:eastAsia="zh-CN"/>
              </w:rPr>
              <w:t>/</w:t>
            </w:r>
            <w:r>
              <w:rPr>
                <w:lang w:eastAsia="zh-CN"/>
              </w:rPr>
              <w:t>NCCN</w:t>
            </w:r>
            <w:r>
              <w:rPr>
                <w:spacing w:val="1"/>
                <w:lang w:eastAsia="zh-CN"/>
              </w:rPr>
              <w:t>指南软组织肿瘤 （2024.V1)</w:t>
            </w:r>
          </w:p>
        </w:tc>
        <w:tc>
          <w:tcPr>
            <w:tcW w:w="279" w:type="pct"/>
          </w:tcPr>
          <w:p>
            <w:pPr>
              <w:pStyle w:val="8"/>
              <w:spacing w:before="29" w:line="174" w:lineRule="auto"/>
              <w:ind w:left="21" w:right="391" w:firstLine="9"/>
              <w:rPr>
                <w:lang w:eastAsia="zh-CN"/>
              </w:rPr>
            </w:pPr>
            <w:r>
              <w:rPr>
                <w:rFonts w:hint="eastAsia"/>
                <w:lang w:eastAsia="zh-CN"/>
              </w:rPr>
              <w:t>否</w:t>
            </w:r>
          </w:p>
        </w:tc>
        <w:tc>
          <w:tcPr>
            <w:tcW w:w="736" w:type="pct"/>
          </w:tcPr>
          <w:p>
            <w:pPr>
              <w:pStyle w:val="8"/>
              <w:spacing w:before="29" w:line="174" w:lineRule="auto"/>
              <w:ind w:left="21" w:right="391" w:firstLine="9"/>
              <w:rPr>
                <w:lang w:eastAsia="zh-CN"/>
              </w:rPr>
            </w:pPr>
            <w:r>
              <w:rPr>
                <w:rFonts w:hint="eastAsia"/>
                <w:lang w:eastAsia="zh-CN"/>
              </w:rPr>
              <w:t>是，</w:t>
            </w:r>
            <w:r>
              <w:rPr>
                <w:spacing w:val="-2"/>
                <w:lang w:eastAsia="zh-CN"/>
              </w:rPr>
              <w:t>IDH1/2</w:t>
            </w:r>
            <w:r>
              <w:rPr>
                <w:rFonts w:hint="eastAsia"/>
                <w:spacing w:val="-2"/>
                <w:lang w:eastAsia="zh-CN"/>
              </w:rPr>
              <w:t>外送至</w:t>
            </w:r>
            <w:r>
              <w:rPr>
                <w:rFonts w:hint="eastAsia"/>
                <w:lang w:eastAsia="zh-CN"/>
              </w:rPr>
              <w:t>福建省肿瘤医院，</w:t>
            </w:r>
            <w:r>
              <w:rPr>
                <w:spacing w:val="-2"/>
                <w:lang w:eastAsia="zh-CN"/>
              </w:rPr>
              <w:t>CDKN2A</w:t>
            </w:r>
            <w:r>
              <w:rPr>
                <w:rFonts w:hint="eastAsia"/>
                <w:spacing w:val="-2"/>
                <w:lang w:eastAsia="zh-CN"/>
              </w:rPr>
              <w:t>未开展</w:t>
            </w:r>
          </w:p>
        </w:tc>
        <w:tc>
          <w:tcPr>
            <w:tcW w:w="533" w:type="pct"/>
            <w:vAlign w:val="top"/>
          </w:tcPr>
          <w:p>
            <w:pPr>
              <w:pStyle w:val="8"/>
              <w:spacing w:before="218" w:line="160" w:lineRule="exact"/>
              <w:ind w:left="30" w:leftChars="0"/>
              <w:rPr>
                <w:lang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4" w:hRule="atLeast"/>
        </w:trPr>
        <w:tc>
          <w:tcPr>
            <w:tcW w:w="112" w:type="pct"/>
            <w:vMerge w:val="continue"/>
            <w:tcBorders>
              <w:top w:val="nil"/>
              <w:bottom w:val="nil"/>
            </w:tcBorders>
          </w:tcPr>
          <w:p/>
        </w:tc>
        <w:tc>
          <w:tcPr>
            <w:tcW w:w="196" w:type="pct"/>
            <w:vMerge w:val="continue"/>
            <w:tcBorders>
              <w:top w:val="nil"/>
              <w:bottom w:val="nil"/>
            </w:tcBorders>
          </w:tcPr>
          <w:p/>
        </w:tc>
        <w:tc>
          <w:tcPr>
            <w:tcW w:w="429" w:type="pct"/>
          </w:tcPr>
          <w:p>
            <w:pPr>
              <w:pStyle w:val="8"/>
              <w:spacing w:before="5" w:line="210" w:lineRule="auto"/>
              <w:ind w:left="17" w:right="35" w:firstLine="1"/>
            </w:pPr>
            <w:r>
              <w:t>TP</w:t>
            </w:r>
            <w:r>
              <w:rPr>
                <w:spacing w:val="3"/>
              </w:rPr>
              <w:t>53、</w:t>
            </w:r>
            <w:r>
              <w:t>Rb</w:t>
            </w:r>
            <w:r>
              <w:rPr>
                <w:spacing w:val="3"/>
              </w:rPr>
              <w:t>1</w:t>
            </w:r>
            <w:r>
              <w:rPr>
                <w:spacing w:val="18"/>
                <w:w w:val="102"/>
              </w:rPr>
              <w:t xml:space="preserve"> </w:t>
            </w:r>
            <w:r>
              <w:rPr>
                <w:spacing w:val="3"/>
              </w:rPr>
              <w:t>内含子突变,</w:t>
            </w:r>
            <w:r>
              <w:t>KIT</w:t>
            </w:r>
            <w:r>
              <w:rPr>
                <w:spacing w:val="3"/>
              </w:rPr>
              <w:t>,</w:t>
            </w:r>
            <w:r>
              <w:t xml:space="preserve">KDR </w:t>
            </w:r>
            <w:r>
              <w:rPr>
                <w:spacing w:val="-1"/>
              </w:rPr>
              <w:t>和</w:t>
            </w:r>
            <w:r>
              <w:rPr>
                <w:spacing w:val="19"/>
                <w:w w:val="101"/>
              </w:rPr>
              <w:t xml:space="preserve"> </w:t>
            </w:r>
            <w:r>
              <w:rPr>
                <w:spacing w:val="-1"/>
              </w:rPr>
              <w:t>PDGFRA扩增， CDK4 和</w:t>
            </w:r>
          </w:p>
          <w:p>
            <w:pPr>
              <w:pStyle w:val="8"/>
              <w:spacing w:before="21" w:line="127" w:lineRule="exact"/>
              <w:ind w:left="29"/>
            </w:pPr>
            <w:r>
              <w:rPr>
                <w:position w:val="-2"/>
              </w:rPr>
              <w:t>MDM</w:t>
            </w:r>
            <w:r>
              <w:rPr>
                <w:spacing w:val="2"/>
                <w:position w:val="-2"/>
              </w:rPr>
              <w:t>2 的扩增，</w:t>
            </w:r>
          </w:p>
        </w:tc>
        <w:tc>
          <w:tcPr>
            <w:tcW w:w="390" w:type="pct"/>
          </w:tcPr>
          <w:p>
            <w:pPr>
              <w:pStyle w:val="8"/>
              <w:spacing w:before="227" w:line="187" w:lineRule="auto"/>
              <w:ind w:left="27"/>
            </w:pPr>
            <w:r>
              <w:rPr>
                <w:spacing w:val="2"/>
              </w:rPr>
              <w:t>3.诊断和鉴别诊断</w:t>
            </w:r>
          </w:p>
        </w:tc>
        <w:tc>
          <w:tcPr>
            <w:tcW w:w="160" w:type="pct"/>
          </w:tcPr>
          <w:p>
            <w:pPr>
              <w:pStyle w:val="8"/>
              <w:spacing w:before="200" w:line="232" w:lineRule="auto"/>
              <w:ind w:left="15"/>
            </w:pPr>
            <w:r>
              <w:rPr>
                <w:spacing w:val="5"/>
              </w:rPr>
              <w:t>/</w:t>
            </w:r>
          </w:p>
        </w:tc>
        <w:tc>
          <w:tcPr>
            <w:tcW w:w="950" w:type="pct"/>
          </w:tcPr>
          <w:p>
            <w:pPr>
              <w:pStyle w:val="8"/>
              <w:spacing w:before="227" w:line="187" w:lineRule="auto"/>
              <w:ind w:left="29"/>
            </w:pPr>
            <w:r>
              <w:rPr>
                <w:spacing w:val="1"/>
              </w:rPr>
              <w:t>骨肉瘤</w:t>
            </w:r>
          </w:p>
        </w:tc>
        <w:tc>
          <w:tcPr>
            <w:tcW w:w="1211" w:type="pct"/>
          </w:tcPr>
          <w:p>
            <w:pPr>
              <w:pStyle w:val="8"/>
              <w:spacing w:before="123" w:line="204" w:lineRule="auto"/>
              <w:ind w:left="21" w:right="391" w:firstLine="9"/>
              <w:rPr>
                <w:lang w:eastAsia="zh-CN"/>
              </w:rPr>
            </w:pPr>
            <w:r>
              <w:rPr>
                <w:lang w:eastAsia="zh-CN"/>
              </w:rPr>
              <w:t>CSCO</w:t>
            </w:r>
            <w:r>
              <w:rPr>
                <w:spacing w:val="3"/>
                <w:lang w:eastAsia="zh-CN"/>
              </w:rPr>
              <w:t>骨与软组织肿瘤诊疗指南2023</w:t>
            </w:r>
            <w:r>
              <w:rPr>
                <w:spacing w:val="11"/>
                <w:w w:val="101"/>
                <w:lang w:eastAsia="zh-CN"/>
              </w:rPr>
              <w:t xml:space="preserve"> </w:t>
            </w:r>
            <w:r>
              <w:rPr>
                <w:spacing w:val="1"/>
                <w:lang w:eastAsia="zh-CN"/>
              </w:rPr>
              <w:t>/</w:t>
            </w:r>
            <w:r>
              <w:rPr>
                <w:lang w:eastAsia="zh-CN"/>
              </w:rPr>
              <w:t>NCCN</w:t>
            </w:r>
            <w:r>
              <w:rPr>
                <w:spacing w:val="1"/>
                <w:lang w:eastAsia="zh-CN"/>
              </w:rPr>
              <w:t>指南软组织肿瘤 （2024.V1)</w:t>
            </w:r>
          </w:p>
        </w:tc>
        <w:tc>
          <w:tcPr>
            <w:tcW w:w="279" w:type="pct"/>
          </w:tcPr>
          <w:p>
            <w:pPr>
              <w:pStyle w:val="8"/>
              <w:spacing w:before="23" w:line="177" w:lineRule="auto"/>
              <w:ind w:left="21" w:right="391" w:firstLine="9"/>
            </w:pPr>
            <w:r>
              <w:rPr>
                <w:rFonts w:hint="eastAsia"/>
                <w:lang w:eastAsia="zh-CN"/>
              </w:rPr>
              <w:t>否</w:t>
            </w:r>
          </w:p>
        </w:tc>
        <w:tc>
          <w:tcPr>
            <w:tcW w:w="736" w:type="pct"/>
          </w:tcPr>
          <w:p>
            <w:pPr>
              <w:pStyle w:val="8"/>
              <w:spacing w:before="23" w:line="177" w:lineRule="auto"/>
              <w:ind w:left="21" w:right="391" w:firstLine="9"/>
            </w:pPr>
            <w:r>
              <w:rPr>
                <w:rFonts w:hint="eastAsia"/>
                <w:lang w:eastAsia="zh-CN"/>
              </w:rPr>
              <w:t>是，福建省肿瘤医院</w:t>
            </w:r>
          </w:p>
        </w:tc>
        <w:tc>
          <w:tcPr>
            <w:tcW w:w="533" w:type="pct"/>
            <w:vAlign w:val="top"/>
          </w:tcPr>
          <w:p>
            <w:pPr>
              <w:pStyle w:val="8"/>
              <w:spacing w:before="218" w:line="160" w:lineRule="exact"/>
              <w:ind w:left="30" w:leftChars="0"/>
              <w:rPr>
                <w:lang w:eastAsia="zh-CN"/>
              </w:rPr>
            </w:pPr>
            <w:r>
              <w:rPr>
                <w:rFonts w:hint="eastAsia"/>
                <w:lang w:val="en-US" w:eastAsia="zh-CN"/>
              </w:rPr>
              <w:t>972</w:t>
            </w:r>
          </w:p>
        </w:tc>
      </w:tr>
    </w:tbl>
    <w:p/>
    <w:p>
      <w:pPr>
        <w:sectPr>
          <w:footerReference r:id="rId7" w:type="default"/>
          <w:pgSz w:w="16837" w:h="11905"/>
          <w:pgMar w:top="400" w:right="531" w:bottom="401" w:left="393" w:header="0" w:footer="238" w:gutter="0"/>
          <w:cols w:space="720" w:num="1"/>
        </w:sectPr>
      </w:pPr>
    </w:p>
    <w:p>
      <w:pPr>
        <w:spacing w:line="48" w:lineRule="exact"/>
      </w:pPr>
    </w:p>
    <w:tbl>
      <w:tblPr>
        <w:tblStyle w:val="7"/>
        <w:tblW w:w="471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4"/>
        <w:gridCol w:w="754"/>
        <w:gridCol w:w="990"/>
        <w:gridCol w:w="1146"/>
        <w:gridCol w:w="3842"/>
        <w:gridCol w:w="1276"/>
        <w:gridCol w:w="1704"/>
        <w:gridCol w:w="1279"/>
        <w:gridCol w:w="2178"/>
        <w:gridCol w:w="13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atLeast"/>
        </w:trPr>
        <w:tc>
          <w:tcPr>
            <w:tcW w:w="174" w:type="pct"/>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序</w:t>
            </w:r>
            <w:r>
              <w:rPr>
                <w:rFonts w:hint="eastAsia" w:ascii="黑体" w:hAnsi="黑体" w:eastAsia="黑体" w:cs="黑体"/>
                <w:b/>
                <w:bCs/>
                <w:spacing w:val="1"/>
                <w:sz w:val="14"/>
                <w:szCs w:val="14"/>
                <w:lang w:eastAsia="zh-CN"/>
              </w:rPr>
              <w:t>2</w:t>
            </w:r>
            <w:r>
              <w:rPr>
                <w:rFonts w:ascii="黑体" w:hAnsi="黑体" w:eastAsia="黑体" w:cs="黑体"/>
                <w:b/>
                <w:bCs/>
                <w:spacing w:val="1"/>
                <w:sz w:val="14"/>
                <w:szCs w:val="14"/>
                <w:lang w:eastAsia="zh-CN"/>
              </w:rPr>
              <w:t>1</w:t>
            </w:r>
            <w:r>
              <w:rPr>
                <w:rFonts w:ascii="黑体" w:hAnsi="黑体" w:eastAsia="黑体" w:cs="黑体"/>
                <w:b/>
                <w:bCs/>
                <w:spacing w:val="1"/>
                <w:sz w:val="14"/>
                <w:szCs w:val="14"/>
              </w:rPr>
              <w:t>号</w:t>
            </w:r>
          </w:p>
        </w:tc>
        <w:tc>
          <w:tcPr>
            <w:tcW w:w="251" w:type="pct"/>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病种名称</w:t>
            </w:r>
          </w:p>
        </w:tc>
        <w:tc>
          <w:tcPr>
            <w:tcW w:w="329" w:type="pct"/>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对应检测基因</w:t>
            </w:r>
          </w:p>
        </w:tc>
        <w:tc>
          <w:tcPr>
            <w:tcW w:w="381" w:type="pct"/>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检测意义</w:t>
            </w:r>
          </w:p>
        </w:tc>
        <w:tc>
          <w:tcPr>
            <w:tcW w:w="1278" w:type="pct"/>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指南推荐药物</w:t>
            </w:r>
          </w:p>
        </w:tc>
        <w:tc>
          <w:tcPr>
            <w:tcW w:w="424" w:type="pct"/>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基因检测适应症</w:t>
            </w:r>
          </w:p>
        </w:tc>
        <w:tc>
          <w:tcPr>
            <w:tcW w:w="567" w:type="pct"/>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诊疗规范或指南依据</w:t>
            </w:r>
          </w:p>
        </w:tc>
        <w:tc>
          <w:tcPr>
            <w:tcW w:w="425" w:type="pct"/>
            <w:vAlign w:val="center"/>
          </w:tcPr>
          <w:p>
            <w:pPr>
              <w:spacing w:before="155" w:line="180" w:lineRule="exact"/>
              <w:jc w:val="both"/>
              <w:rPr>
                <w:rFonts w:ascii="黑体" w:hAnsi="黑体" w:eastAsia="黑体" w:cs="黑体"/>
                <w:b/>
                <w:bCs/>
                <w:spacing w:val="1"/>
                <w:sz w:val="14"/>
                <w:szCs w:val="14"/>
              </w:rPr>
            </w:pPr>
            <w:r>
              <w:rPr>
                <w:rFonts w:hint="eastAsia" w:ascii="黑体" w:hAnsi="黑体" w:eastAsia="黑体" w:cs="黑体"/>
                <w:b/>
                <w:bCs/>
                <w:spacing w:val="1"/>
                <w:sz w:val="14"/>
                <w:szCs w:val="14"/>
                <w:lang w:eastAsia="zh-CN"/>
              </w:rPr>
              <w:t>是否本机构开展</w:t>
            </w:r>
          </w:p>
        </w:tc>
        <w:tc>
          <w:tcPr>
            <w:tcW w:w="725" w:type="pct"/>
            <w:vAlign w:val="center"/>
          </w:tcPr>
          <w:p>
            <w:pPr>
              <w:spacing w:before="155" w:line="180" w:lineRule="exact"/>
              <w:ind w:left="192"/>
              <w:jc w:val="center"/>
              <w:rPr>
                <w:rFonts w:ascii="黑体" w:hAnsi="黑体" w:eastAsia="黑体" w:cs="黑体"/>
                <w:b/>
                <w:bCs/>
                <w:spacing w:val="1"/>
                <w:sz w:val="14"/>
                <w:szCs w:val="14"/>
                <w:lang w:eastAsia="zh-CN"/>
              </w:rPr>
            </w:pPr>
            <w:r>
              <w:rPr>
                <w:rFonts w:hint="eastAsia" w:ascii="黑体" w:hAnsi="黑体" w:eastAsia="黑体" w:cs="黑体"/>
                <w:b/>
                <w:bCs/>
                <w:spacing w:val="1"/>
                <w:sz w:val="14"/>
                <w:szCs w:val="14"/>
                <w:lang w:eastAsia="zh-CN"/>
              </w:rPr>
              <w:t>是否外送，外送机构</w:t>
            </w:r>
          </w:p>
        </w:tc>
        <w:tc>
          <w:tcPr>
            <w:tcW w:w="442" w:type="pct"/>
            <w:vAlign w:val="center"/>
          </w:tcPr>
          <w:p>
            <w:pPr>
              <w:spacing w:before="155" w:line="180" w:lineRule="exact"/>
              <w:ind w:left="192"/>
              <w:jc w:val="center"/>
              <w:rPr>
                <w:rFonts w:ascii="黑体" w:hAnsi="黑体" w:eastAsia="黑体" w:cs="黑体"/>
                <w:b/>
                <w:bCs/>
                <w:spacing w:val="1"/>
                <w:sz w:val="14"/>
                <w:szCs w:val="14"/>
                <w:lang w:eastAsia="zh-CN"/>
              </w:rPr>
            </w:pPr>
            <w:r>
              <w:rPr>
                <w:rFonts w:hint="eastAsia" w:ascii="黑体" w:hAnsi="黑体" w:eastAsia="黑体" w:cs="黑体"/>
                <w:b/>
                <w:bCs/>
                <w:spacing w:val="1"/>
                <w:sz w:val="14"/>
                <w:szCs w:val="14"/>
                <w:lang w:eastAsia="zh-CN"/>
              </w:rPr>
              <w:t>价格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6" w:hRule="exact"/>
        </w:trPr>
        <w:tc>
          <w:tcPr>
            <w:tcW w:w="174" w:type="pct"/>
            <w:vMerge w:val="restart"/>
            <w:tcBorders>
              <w:top w:val="nil"/>
            </w:tcBorders>
          </w:tcPr>
          <w:p>
            <w:pPr>
              <w:spacing w:line="257" w:lineRule="auto"/>
            </w:pPr>
          </w:p>
          <w:p>
            <w:pPr>
              <w:spacing w:line="257" w:lineRule="auto"/>
            </w:pPr>
          </w:p>
          <w:p>
            <w:pPr>
              <w:spacing w:line="257" w:lineRule="auto"/>
            </w:pPr>
          </w:p>
          <w:p>
            <w:pPr>
              <w:spacing w:line="257" w:lineRule="auto"/>
            </w:pPr>
          </w:p>
          <w:p>
            <w:pPr>
              <w:spacing w:line="257" w:lineRule="auto"/>
            </w:pPr>
          </w:p>
          <w:p>
            <w:pPr>
              <w:spacing w:line="257" w:lineRule="auto"/>
            </w:pPr>
          </w:p>
          <w:p>
            <w:pPr>
              <w:spacing w:line="257" w:lineRule="auto"/>
            </w:pPr>
          </w:p>
          <w:p>
            <w:pPr>
              <w:spacing w:line="257" w:lineRule="auto"/>
            </w:pPr>
          </w:p>
          <w:p>
            <w:pPr>
              <w:spacing w:line="257" w:lineRule="auto"/>
            </w:pPr>
          </w:p>
          <w:p>
            <w:pPr>
              <w:pStyle w:val="8"/>
              <w:spacing w:before="60" w:line="177" w:lineRule="auto"/>
              <w:ind w:left="36"/>
            </w:pPr>
            <w:r>
              <w:rPr>
                <w:spacing w:val="-5"/>
              </w:rPr>
              <w:t>14</w:t>
            </w:r>
          </w:p>
        </w:tc>
        <w:tc>
          <w:tcPr>
            <w:tcW w:w="251" w:type="pct"/>
            <w:vMerge w:val="restart"/>
            <w:tcBorders>
              <w:top w:val="nil"/>
            </w:tcBorders>
          </w:tcPr>
          <w:p>
            <w:pPr>
              <w:spacing w:line="255"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pStyle w:val="8"/>
              <w:spacing w:before="60" w:line="187" w:lineRule="auto"/>
              <w:ind w:left="22"/>
            </w:pPr>
            <w:r>
              <w:rPr>
                <w:spacing w:val="1"/>
              </w:rPr>
              <w:t>宫颈癌</w:t>
            </w:r>
          </w:p>
        </w:tc>
        <w:tc>
          <w:tcPr>
            <w:tcW w:w="329" w:type="pct"/>
          </w:tcPr>
          <w:p>
            <w:pPr>
              <w:pStyle w:val="8"/>
              <w:spacing w:before="94" w:line="232" w:lineRule="auto"/>
              <w:ind w:left="29"/>
            </w:pPr>
            <w:r>
              <w:t>NTRK</w:t>
            </w:r>
            <w:r>
              <w:rPr>
                <w:spacing w:val="1"/>
              </w:rPr>
              <w:t>1/2/3</w:t>
            </w:r>
          </w:p>
        </w:tc>
        <w:tc>
          <w:tcPr>
            <w:tcW w:w="381" w:type="pct"/>
          </w:tcPr>
          <w:p>
            <w:pPr>
              <w:pStyle w:val="8"/>
              <w:spacing w:before="120" w:line="187" w:lineRule="auto"/>
              <w:ind w:left="32"/>
            </w:pPr>
            <w:r>
              <w:rPr>
                <w:spacing w:val="1"/>
              </w:rPr>
              <w:t>1.指导靶向治疗</w:t>
            </w:r>
          </w:p>
        </w:tc>
        <w:tc>
          <w:tcPr>
            <w:tcW w:w="1278" w:type="pct"/>
          </w:tcPr>
          <w:p>
            <w:pPr>
              <w:pStyle w:val="8"/>
              <w:spacing w:before="23" w:line="177" w:lineRule="auto"/>
              <w:ind w:left="21" w:right="119" w:firstLine="10"/>
              <w:rPr>
                <w:lang w:eastAsia="zh-CN"/>
              </w:rPr>
            </w:pPr>
            <w:r>
              <w:rPr>
                <w:lang w:eastAsia="zh-CN"/>
              </w:rPr>
              <w:t>NMPA</w:t>
            </w:r>
            <w:r>
              <w:rPr>
                <w:spacing w:val="2"/>
                <w:lang w:eastAsia="zh-CN"/>
              </w:rPr>
              <w:t>批准恩曲替尼用于12岁及以上， 经充分验证的检测方法诊断为携带神经</w:t>
            </w:r>
            <w:r>
              <w:rPr>
                <w:spacing w:val="12"/>
                <w:w w:val="102"/>
                <w:lang w:eastAsia="zh-CN"/>
              </w:rPr>
              <w:t xml:space="preserve"> </w:t>
            </w:r>
            <w:r>
              <w:rPr>
                <w:spacing w:val="4"/>
                <w:lang w:eastAsia="zh-CN"/>
              </w:rPr>
              <w:t>营养酪氨酸受体激酶(</w:t>
            </w:r>
            <w:r>
              <w:rPr>
                <w:lang w:eastAsia="zh-CN"/>
              </w:rPr>
              <w:t>NTRK</w:t>
            </w:r>
            <w:r>
              <w:rPr>
                <w:spacing w:val="4"/>
                <w:lang w:eastAsia="zh-CN"/>
              </w:rPr>
              <w:t>)融合基因且不包括已知获得性耐药突变的</w:t>
            </w:r>
            <w:r>
              <w:rPr>
                <w:spacing w:val="3"/>
                <w:lang w:eastAsia="zh-CN"/>
              </w:rPr>
              <w:t>实体瘤</w:t>
            </w:r>
          </w:p>
        </w:tc>
        <w:tc>
          <w:tcPr>
            <w:tcW w:w="424" w:type="pct"/>
          </w:tcPr>
          <w:p>
            <w:pPr>
              <w:pStyle w:val="8"/>
              <w:spacing w:before="120" w:line="187" w:lineRule="auto"/>
              <w:ind w:left="29"/>
            </w:pPr>
            <w:r>
              <w:rPr>
                <w:spacing w:val="2"/>
              </w:rPr>
              <w:t>宫颈恶性肿瘤</w:t>
            </w:r>
          </w:p>
        </w:tc>
        <w:tc>
          <w:tcPr>
            <w:tcW w:w="567" w:type="pct"/>
          </w:tcPr>
          <w:p>
            <w:pPr>
              <w:pStyle w:val="8"/>
              <w:spacing w:before="93" w:line="226" w:lineRule="auto"/>
              <w:ind w:left="37"/>
              <w:rPr>
                <w:lang w:eastAsia="zh-CN"/>
              </w:rPr>
            </w:pPr>
            <w:r>
              <w:rPr>
                <w:spacing w:val="-1"/>
                <w:lang w:eastAsia="zh-CN"/>
              </w:rPr>
              <w:t>NCCN指南宫颈癌 （2024.V1）</w:t>
            </w:r>
          </w:p>
        </w:tc>
        <w:tc>
          <w:tcPr>
            <w:tcW w:w="425" w:type="pct"/>
          </w:tcPr>
          <w:p>
            <w:pPr>
              <w:pStyle w:val="8"/>
              <w:spacing w:before="23" w:line="177" w:lineRule="auto"/>
              <w:ind w:left="21" w:right="391" w:firstLine="9"/>
            </w:pPr>
            <w:r>
              <w:rPr>
                <w:rFonts w:hint="eastAsia"/>
                <w:lang w:eastAsia="zh-CN"/>
              </w:rPr>
              <w:t>否</w:t>
            </w:r>
          </w:p>
        </w:tc>
        <w:tc>
          <w:tcPr>
            <w:tcW w:w="725" w:type="pct"/>
          </w:tcPr>
          <w:p>
            <w:pPr>
              <w:pStyle w:val="8"/>
              <w:spacing w:before="23" w:line="177" w:lineRule="auto"/>
              <w:ind w:left="21" w:right="391" w:firstLine="9"/>
            </w:pPr>
            <w:r>
              <w:rPr>
                <w:rFonts w:hint="eastAsia"/>
                <w:lang w:eastAsia="zh-CN"/>
              </w:rPr>
              <w:t>是，福建省肿瘤医院</w:t>
            </w:r>
          </w:p>
        </w:tc>
        <w:tc>
          <w:tcPr>
            <w:tcW w:w="442" w:type="pct"/>
          </w:tcPr>
          <w:p>
            <w:pPr>
              <w:pStyle w:val="8"/>
              <w:spacing w:before="218" w:line="160" w:lineRule="exact"/>
              <w:ind w:left="30"/>
              <w:rPr>
                <w:rFonts w:hint="default"/>
                <w:lang w:val="en-US"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9" w:hRule="exact"/>
        </w:trPr>
        <w:tc>
          <w:tcPr>
            <w:tcW w:w="174" w:type="pct"/>
            <w:vMerge w:val="continue"/>
            <w:tcBorders>
              <w:top w:val="nil"/>
              <w:bottom w:val="nil"/>
            </w:tcBorders>
          </w:tcPr>
          <w:p/>
        </w:tc>
        <w:tc>
          <w:tcPr>
            <w:tcW w:w="251" w:type="pct"/>
            <w:vMerge w:val="continue"/>
            <w:tcBorders>
              <w:top w:val="nil"/>
              <w:bottom w:val="nil"/>
            </w:tcBorders>
          </w:tcPr>
          <w:p/>
        </w:tc>
        <w:tc>
          <w:tcPr>
            <w:tcW w:w="329" w:type="pct"/>
          </w:tcPr>
          <w:p>
            <w:pPr>
              <w:spacing w:line="272" w:lineRule="auto"/>
            </w:pPr>
          </w:p>
          <w:p>
            <w:pPr>
              <w:spacing w:line="272" w:lineRule="auto"/>
            </w:pPr>
          </w:p>
          <w:p>
            <w:pPr>
              <w:spacing w:line="273" w:lineRule="auto"/>
            </w:pPr>
          </w:p>
          <w:p>
            <w:pPr>
              <w:spacing w:line="273" w:lineRule="auto"/>
            </w:pPr>
          </w:p>
          <w:p>
            <w:pPr>
              <w:pStyle w:val="8"/>
              <w:spacing w:before="60" w:line="232" w:lineRule="auto"/>
              <w:ind w:left="29"/>
            </w:pPr>
            <w:r>
              <w:t>MMR</w:t>
            </w:r>
            <w:r>
              <w:rPr>
                <w:spacing w:val="6"/>
              </w:rPr>
              <w:t>/</w:t>
            </w:r>
            <w:r>
              <w:t>MSI</w:t>
            </w:r>
          </w:p>
        </w:tc>
        <w:tc>
          <w:tcPr>
            <w:tcW w:w="381" w:type="pct"/>
          </w:tcPr>
          <w:p>
            <w:pPr>
              <w:spacing w:line="279" w:lineRule="auto"/>
            </w:pPr>
          </w:p>
          <w:p>
            <w:pPr>
              <w:spacing w:line="279" w:lineRule="auto"/>
            </w:pPr>
          </w:p>
          <w:p>
            <w:pPr>
              <w:spacing w:line="279" w:lineRule="auto"/>
            </w:pPr>
          </w:p>
          <w:p>
            <w:pPr>
              <w:spacing w:line="280" w:lineRule="auto"/>
            </w:pPr>
          </w:p>
          <w:p>
            <w:pPr>
              <w:pStyle w:val="8"/>
              <w:spacing w:before="60" w:line="187" w:lineRule="auto"/>
              <w:ind w:left="25"/>
            </w:pPr>
            <w:r>
              <w:rPr>
                <w:spacing w:val="2"/>
              </w:rPr>
              <w:t>2.指导免疫治疗</w:t>
            </w:r>
          </w:p>
        </w:tc>
        <w:tc>
          <w:tcPr>
            <w:tcW w:w="1278" w:type="pct"/>
          </w:tcPr>
          <w:p>
            <w:pPr>
              <w:pStyle w:val="8"/>
              <w:spacing w:before="149" w:line="200" w:lineRule="exact"/>
              <w:ind w:left="18" w:right="26" w:firstLine="14"/>
              <w:rPr>
                <w:lang w:eastAsia="zh-CN"/>
              </w:rPr>
            </w:pPr>
            <w:r>
              <w:rPr>
                <w:spacing w:val="4"/>
                <w:lang w:eastAsia="zh-CN"/>
              </w:rPr>
              <w:t>1.</w:t>
            </w:r>
            <w:r>
              <w:rPr>
                <w:lang w:eastAsia="zh-CN"/>
              </w:rPr>
              <w:t>NMPA</w:t>
            </w:r>
            <w:r>
              <w:rPr>
                <w:spacing w:val="4"/>
                <w:lang w:eastAsia="zh-CN"/>
              </w:rPr>
              <w:t>批准普特利单抗用于既往接受一线及以上系统</w:t>
            </w:r>
            <w:r>
              <w:rPr>
                <w:spacing w:val="3"/>
                <w:lang w:eastAsia="zh-CN"/>
              </w:rPr>
              <w:t>治疗失败的高度微卫星不</w:t>
            </w:r>
            <w:r>
              <w:rPr>
                <w:lang w:eastAsia="zh-CN"/>
              </w:rPr>
              <w:t xml:space="preserve"> </w:t>
            </w:r>
            <w:r>
              <w:rPr>
                <w:spacing w:val="-1"/>
                <w:lang w:eastAsia="zh-CN"/>
              </w:rPr>
              <w:t>稳定型 （MSI-H） 或错配修复缺陷型 （dMMR） 的晚期实体瘤患者的治疗。</w:t>
            </w:r>
          </w:p>
          <w:p>
            <w:pPr>
              <w:pStyle w:val="8"/>
              <w:spacing w:before="6" w:line="200" w:lineRule="exact"/>
              <w:ind w:left="19" w:right="14" w:firstLine="7"/>
              <w:rPr>
                <w:lang w:eastAsia="zh-CN"/>
              </w:rPr>
            </w:pPr>
            <w:r>
              <w:rPr>
                <w:spacing w:val="4"/>
                <w:lang w:eastAsia="zh-CN"/>
              </w:rPr>
              <w:t>2.</w:t>
            </w:r>
            <w:r>
              <w:rPr>
                <w:lang w:eastAsia="zh-CN"/>
              </w:rPr>
              <w:t>NMPA</w:t>
            </w:r>
            <w:r>
              <w:rPr>
                <w:spacing w:val="4"/>
                <w:lang w:eastAsia="zh-CN"/>
              </w:rPr>
              <w:t>批准斯鲁利单抗用于经过标准治疗失败的、不可切除或转移性</w:t>
            </w:r>
            <w:r>
              <w:rPr>
                <w:spacing w:val="3"/>
                <w:lang w:eastAsia="zh-CN"/>
              </w:rPr>
              <w:t>高度微卫</w:t>
            </w:r>
            <w:r>
              <w:rPr>
                <w:lang w:eastAsia="zh-CN"/>
              </w:rPr>
              <w:t xml:space="preserve"> </w:t>
            </w:r>
            <w:r>
              <w:rPr>
                <w:spacing w:val="1"/>
                <w:lang w:eastAsia="zh-CN"/>
              </w:rPr>
              <w:t>星不稳定型 （</w:t>
            </w:r>
            <w:r>
              <w:rPr>
                <w:lang w:eastAsia="zh-CN"/>
              </w:rPr>
              <w:t>MSI</w:t>
            </w:r>
            <w:r>
              <w:rPr>
                <w:spacing w:val="1"/>
                <w:lang w:eastAsia="zh-CN"/>
              </w:rPr>
              <w:t>-H） 实体瘤。3.</w:t>
            </w:r>
            <w:r>
              <w:rPr>
                <w:lang w:eastAsia="zh-CN"/>
              </w:rPr>
              <w:t>NMPA</w:t>
            </w:r>
            <w:r>
              <w:rPr>
                <w:spacing w:val="1"/>
                <w:lang w:eastAsia="zh-CN"/>
              </w:rPr>
              <w:t>批准恩沃利单抗用于不可切除或转移性</w:t>
            </w:r>
            <w:r>
              <w:rPr>
                <w:spacing w:val="17"/>
                <w:w w:val="102"/>
                <w:lang w:eastAsia="zh-CN"/>
              </w:rPr>
              <w:t xml:space="preserve"> </w:t>
            </w:r>
            <w:r>
              <w:rPr>
                <w:spacing w:val="-1"/>
                <w:lang w:eastAsia="zh-CN"/>
              </w:rPr>
              <w:t>微卫星高度不稳定 （MSI-H） 或错配修复基因缺陷型 （dMMR） 的成人晚期实</w:t>
            </w:r>
            <w:r>
              <w:rPr>
                <w:spacing w:val="3"/>
                <w:lang w:eastAsia="zh-CN"/>
              </w:rPr>
              <w:t xml:space="preserve">   体瘤患者的治疗， 包括既往经过氟尿嘧啶类、奥沙利</w:t>
            </w:r>
            <w:r>
              <w:rPr>
                <w:spacing w:val="2"/>
                <w:lang w:eastAsia="zh-CN"/>
              </w:rPr>
              <w:t>铂和伊立替康治疗后出现疾</w:t>
            </w:r>
            <w:r>
              <w:rPr>
                <w:lang w:eastAsia="zh-CN"/>
              </w:rPr>
              <w:t xml:space="preserve"> </w:t>
            </w:r>
            <w:r>
              <w:rPr>
                <w:spacing w:val="4"/>
                <w:lang w:eastAsia="zh-CN"/>
              </w:rPr>
              <w:t>病进展的晚期结直肠癌患者以及既往治疗后出现疾病进展且无满意替代治</w:t>
            </w:r>
            <w:r>
              <w:rPr>
                <w:spacing w:val="3"/>
                <w:lang w:eastAsia="zh-CN"/>
              </w:rPr>
              <w:t>疗方案</w:t>
            </w:r>
            <w:r>
              <w:rPr>
                <w:lang w:eastAsia="zh-CN"/>
              </w:rPr>
              <w:t xml:space="preserve"> </w:t>
            </w:r>
            <w:r>
              <w:rPr>
                <w:spacing w:val="4"/>
                <w:lang w:eastAsia="zh-CN"/>
              </w:rPr>
              <w:t>的其他晚期实体瘤患者。4.</w:t>
            </w:r>
            <w:r>
              <w:rPr>
                <w:lang w:eastAsia="zh-CN"/>
              </w:rPr>
              <w:t>NMPA</w:t>
            </w:r>
            <w:r>
              <w:rPr>
                <w:spacing w:val="4"/>
                <w:lang w:eastAsia="zh-CN"/>
              </w:rPr>
              <w:t>批准替雷丽珠单抗用于不可切除或转移性微卫</w:t>
            </w:r>
            <w:r>
              <w:rPr>
                <w:spacing w:val="3"/>
                <w:lang w:eastAsia="zh-CN"/>
              </w:rPr>
              <w:t xml:space="preserve"> </w:t>
            </w:r>
            <w:r>
              <w:rPr>
                <w:spacing w:val="4"/>
                <w:lang w:eastAsia="zh-CN"/>
              </w:rPr>
              <w:t>星高度不稳定型(</w:t>
            </w:r>
            <w:r>
              <w:rPr>
                <w:lang w:eastAsia="zh-CN"/>
              </w:rPr>
              <w:t>MSI</w:t>
            </w:r>
            <w:r>
              <w:rPr>
                <w:spacing w:val="4"/>
                <w:lang w:eastAsia="zh-CN"/>
              </w:rPr>
              <w:t>-H) 或错配修复基因缺陷型(</w:t>
            </w:r>
            <w:r>
              <w:rPr>
                <w:lang w:eastAsia="zh-CN"/>
              </w:rPr>
              <w:t>dMMR</w:t>
            </w:r>
            <w:r>
              <w:rPr>
                <w:spacing w:val="4"/>
                <w:lang w:eastAsia="zh-CN"/>
              </w:rPr>
              <w:t>)的成人晚</w:t>
            </w:r>
            <w:r>
              <w:rPr>
                <w:spacing w:val="3"/>
                <w:lang w:eastAsia="zh-CN"/>
              </w:rPr>
              <w:t>期实体瘤。</w:t>
            </w:r>
          </w:p>
          <w:p>
            <w:pPr>
              <w:pStyle w:val="8"/>
              <w:spacing w:before="6" w:line="200" w:lineRule="exact"/>
              <w:ind w:left="41" w:right="472" w:hanging="11"/>
              <w:rPr>
                <w:lang w:eastAsia="zh-CN"/>
              </w:rPr>
            </w:pPr>
            <w:r>
              <w:rPr>
                <w:spacing w:val="4"/>
                <w:lang w:eastAsia="zh-CN"/>
              </w:rPr>
              <w:t>5.</w:t>
            </w:r>
            <w:r>
              <w:rPr>
                <w:lang w:eastAsia="zh-CN"/>
              </w:rPr>
              <w:t>FDA</w:t>
            </w:r>
            <w:r>
              <w:rPr>
                <w:spacing w:val="4"/>
                <w:lang w:eastAsia="zh-CN"/>
              </w:rPr>
              <w:t>加速批准帕博利珠单抗用于无法切除或转</w:t>
            </w:r>
            <w:r>
              <w:rPr>
                <w:spacing w:val="3"/>
                <w:lang w:eastAsia="zh-CN"/>
              </w:rPr>
              <w:t>移性的高微卫星不稳定性</w:t>
            </w:r>
            <w:r>
              <w:rPr>
                <w:lang w:eastAsia="zh-CN"/>
              </w:rPr>
              <w:t xml:space="preserve"> </w:t>
            </w:r>
            <w:r>
              <w:rPr>
                <w:spacing w:val="-1"/>
                <w:lang w:eastAsia="zh-CN"/>
              </w:rPr>
              <w:t>（MSI-H） 或错配修复缺陷 （dMMR） 的成人和儿童实体</w:t>
            </w:r>
            <w:r>
              <w:rPr>
                <w:spacing w:val="-2"/>
                <w:lang w:eastAsia="zh-CN"/>
              </w:rPr>
              <w:t>瘤患者</w:t>
            </w:r>
          </w:p>
        </w:tc>
        <w:tc>
          <w:tcPr>
            <w:tcW w:w="424" w:type="pct"/>
          </w:tcPr>
          <w:p>
            <w:pPr>
              <w:spacing w:line="279" w:lineRule="auto"/>
              <w:rPr>
                <w:lang w:eastAsia="zh-CN"/>
              </w:rPr>
            </w:pPr>
          </w:p>
          <w:p>
            <w:pPr>
              <w:spacing w:line="279" w:lineRule="auto"/>
              <w:rPr>
                <w:lang w:eastAsia="zh-CN"/>
              </w:rPr>
            </w:pPr>
          </w:p>
          <w:p>
            <w:pPr>
              <w:spacing w:line="279" w:lineRule="auto"/>
              <w:rPr>
                <w:lang w:eastAsia="zh-CN"/>
              </w:rPr>
            </w:pPr>
          </w:p>
          <w:p>
            <w:pPr>
              <w:spacing w:line="280" w:lineRule="auto"/>
              <w:rPr>
                <w:lang w:eastAsia="zh-CN"/>
              </w:rPr>
            </w:pPr>
          </w:p>
          <w:p>
            <w:pPr>
              <w:pStyle w:val="8"/>
              <w:spacing w:before="60" w:line="187" w:lineRule="auto"/>
              <w:ind w:left="29"/>
            </w:pPr>
            <w:r>
              <w:rPr>
                <w:spacing w:val="2"/>
              </w:rPr>
              <w:t>宫颈恶性肿瘤</w:t>
            </w:r>
          </w:p>
        </w:tc>
        <w:tc>
          <w:tcPr>
            <w:tcW w:w="567" w:type="pct"/>
          </w:tcPr>
          <w:p>
            <w:pPr>
              <w:spacing w:line="272" w:lineRule="auto"/>
              <w:rPr>
                <w:lang w:eastAsia="zh-CN"/>
              </w:rPr>
            </w:pPr>
          </w:p>
          <w:p>
            <w:pPr>
              <w:spacing w:line="272" w:lineRule="auto"/>
              <w:rPr>
                <w:lang w:eastAsia="zh-CN"/>
              </w:rPr>
            </w:pPr>
          </w:p>
          <w:p>
            <w:pPr>
              <w:spacing w:line="273" w:lineRule="auto"/>
              <w:rPr>
                <w:lang w:eastAsia="zh-CN"/>
              </w:rPr>
            </w:pPr>
          </w:p>
          <w:p>
            <w:pPr>
              <w:spacing w:line="273" w:lineRule="auto"/>
              <w:rPr>
                <w:lang w:eastAsia="zh-CN"/>
              </w:rPr>
            </w:pPr>
          </w:p>
          <w:p>
            <w:pPr>
              <w:pStyle w:val="8"/>
              <w:spacing w:before="60" w:line="226" w:lineRule="auto"/>
              <w:ind w:left="37"/>
              <w:rPr>
                <w:lang w:eastAsia="zh-CN"/>
              </w:rPr>
            </w:pPr>
            <w:r>
              <w:rPr>
                <w:spacing w:val="-1"/>
                <w:lang w:eastAsia="zh-CN"/>
              </w:rPr>
              <w:t>NCCN指南宫颈癌 （2024.V1）</w:t>
            </w:r>
          </w:p>
        </w:tc>
        <w:tc>
          <w:tcPr>
            <w:tcW w:w="425" w:type="pct"/>
          </w:tcPr>
          <w:p>
            <w:pPr>
              <w:pStyle w:val="8"/>
              <w:spacing w:before="23" w:line="177" w:lineRule="auto"/>
              <w:ind w:left="21" w:right="391" w:firstLine="9"/>
            </w:pPr>
            <w:r>
              <w:rPr>
                <w:rFonts w:hint="eastAsia"/>
                <w:lang w:eastAsia="zh-CN"/>
              </w:rPr>
              <w:t>否</w:t>
            </w:r>
          </w:p>
        </w:tc>
        <w:tc>
          <w:tcPr>
            <w:tcW w:w="725" w:type="pct"/>
          </w:tcPr>
          <w:p>
            <w:pPr>
              <w:pStyle w:val="8"/>
              <w:spacing w:before="23" w:line="177" w:lineRule="auto"/>
              <w:ind w:left="21" w:right="391" w:firstLine="9"/>
            </w:pPr>
            <w:r>
              <w:rPr>
                <w:rFonts w:hint="eastAsia"/>
                <w:lang w:eastAsia="zh-CN"/>
              </w:rPr>
              <w:t>是，福建省肿瘤医院</w:t>
            </w:r>
          </w:p>
        </w:tc>
        <w:tc>
          <w:tcPr>
            <w:tcW w:w="442" w:type="pct"/>
          </w:tcPr>
          <w:p>
            <w:pPr>
              <w:pStyle w:val="8"/>
              <w:spacing w:before="218" w:line="160" w:lineRule="exact"/>
              <w:ind w:left="30"/>
              <w:rPr>
                <w:rFonts w:hint="default"/>
                <w:lang w:val="en-US" w:eastAsia="zh-CN"/>
              </w:rPr>
            </w:pPr>
            <w:r>
              <w:rPr>
                <w:rFonts w:hint="eastAsia"/>
                <w:lang w:val="en-US" w:eastAsia="zh-CN"/>
              </w:rPr>
              <w:t>1500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exact"/>
        </w:trPr>
        <w:tc>
          <w:tcPr>
            <w:tcW w:w="174" w:type="pct"/>
            <w:vMerge w:val="continue"/>
            <w:tcBorders>
              <w:top w:val="nil"/>
              <w:bottom w:val="nil"/>
            </w:tcBorders>
          </w:tcPr>
          <w:p/>
        </w:tc>
        <w:tc>
          <w:tcPr>
            <w:tcW w:w="251" w:type="pct"/>
            <w:vMerge w:val="continue"/>
            <w:tcBorders>
              <w:top w:val="nil"/>
              <w:bottom w:val="nil"/>
            </w:tcBorders>
          </w:tcPr>
          <w:p/>
        </w:tc>
        <w:tc>
          <w:tcPr>
            <w:tcW w:w="329" w:type="pct"/>
          </w:tcPr>
          <w:p>
            <w:pPr>
              <w:pStyle w:val="8"/>
              <w:spacing w:before="96" w:line="226" w:lineRule="auto"/>
              <w:ind w:left="29"/>
            </w:pPr>
            <w:r>
              <w:t>ERBB</w:t>
            </w:r>
            <w:r>
              <w:rPr>
                <w:spacing w:val="2"/>
              </w:rPr>
              <w:t>2(</w:t>
            </w:r>
            <w:r>
              <w:t>HER</w:t>
            </w:r>
            <w:r>
              <w:rPr>
                <w:spacing w:val="2"/>
              </w:rPr>
              <w:t>2)</w:t>
            </w:r>
          </w:p>
        </w:tc>
        <w:tc>
          <w:tcPr>
            <w:tcW w:w="381" w:type="pct"/>
          </w:tcPr>
          <w:p>
            <w:pPr>
              <w:pStyle w:val="8"/>
              <w:spacing w:before="123" w:line="187" w:lineRule="auto"/>
              <w:ind w:left="32"/>
            </w:pPr>
            <w:r>
              <w:rPr>
                <w:spacing w:val="1"/>
              </w:rPr>
              <w:t>1.指导靶向治疗</w:t>
            </w:r>
          </w:p>
        </w:tc>
        <w:tc>
          <w:tcPr>
            <w:tcW w:w="1278" w:type="pct"/>
          </w:tcPr>
          <w:p>
            <w:pPr>
              <w:pStyle w:val="8"/>
              <w:spacing w:before="1" w:line="188" w:lineRule="auto"/>
              <w:ind w:left="28" w:right="78" w:firstLine="4"/>
              <w:rPr>
                <w:lang w:eastAsia="zh-CN"/>
              </w:rPr>
            </w:pPr>
            <w:r>
              <w:rPr>
                <w:lang w:eastAsia="zh-CN"/>
              </w:rPr>
              <w:t>FDA</w:t>
            </w:r>
            <w:r>
              <w:rPr>
                <w:spacing w:val="2"/>
                <w:lang w:eastAsia="zh-CN"/>
              </w:rPr>
              <w:t>加速批准德曲妥珠单抗用于治疗不可切除或转移性的</w:t>
            </w:r>
            <w:r>
              <w:rPr>
                <w:lang w:eastAsia="zh-CN"/>
              </w:rPr>
              <w:t>HER</w:t>
            </w:r>
            <w:r>
              <w:rPr>
                <w:spacing w:val="2"/>
                <w:lang w:eastAsia="zh-CN"/>
              </w:rPr>
              <w:t>2阳性 （免疫组化</w:t>
            </w:r>
            <w:r>
              <w:rPr>
                <w:spacing w:val="16"/>
                <w:lang w:eastAsia="zh-CN"/>
              </w:rPr>
              <w:t xml:space="preserve"> </w:t>
            </w:r>
            <w:r>
              <w:rPr>
                <w:spacing w:val="-5"/>
                <w:lang w:eastAsia="zh-CN"/>
              </w:rPr>
              <w:t>3+） 实体瘤</w:t>
            </w:r>
          </w:p>
        </w:tc>
        <w:tc>
          <w:tcPr>
            <w:tcW w:w="424" w:type="pct"/>
          </w:tcPr>
          <w:p>
            <w:pPr>
              <w:pStyle w:val="8"/>
              <w:spacing w:before="123" w:line="187" w:lineRule="auto"/>
              <w:ind w:left="29"/>
            </w:pPr>
            <w:r>
              <w:rPr>
                <w:spacing w:val="2"/>
              </w:rPr>
              <w:t>宫颈恶性肿瘤</w:t>
            </w:r>
          </w:p>
        </w:tc>
        <w:tc>
          <w:tcPr>
            <w:tcW w:w="567" w:type="pct"/>
          </w:tcPr>
          <w:p>
            <w:pPr>
              <w:pStyle w:val="8"/>
              <w:spacing w:before="96" w:line="226" w:lineRule="auto"/>
              <w:ind w:left="37"/>
              <w:rPr>
                <w:lang w:eastAsia="zh-CN"/>
              </w:rPr>
            </w:pPr>
            <w:r>
              <w:rPr>
                <w:spacing w:val="-1"/>
                <w:lang w:eastAsia="zh-CN"/>
              </w:rPr>
              <w:t>NCCN指南宫颈癌 （2024.V1）</w:t>
            </w:r>
          </w:p>
        </w:tc>
        <w:tc>
          <w:tcPr>
            <w:tcW w:w="425" w:type="pct"/>
          </w:tcPr>
          <w:p>
            <w:pPr>
              <w:pStyle w:val="8"/>
              <w:spacing w:before="23" w:line="177" w:lineRule="auto"/>
              <w:ind w:left="21" w:right="391" w:firstLine="9"/>
              <w:rPr>
                <w:lang w:eastAsia="zh-CN"/>
              </w:rPr>
            </w:pPr>
            <w:r>
              <w:rPr>
                <w:rFonts w:hint="eastAsia"/>
                <w:lang w:eastAsia="zh-CN"/>
              </w:rPr>
              <w:t>是</w:t>
            </w:r>
          </w:p>
        </w:tc>
        <w:tc>
          <w:tcPr>
            <w:tcW w:w="725" w:type="pct"/>
          </w:tcPr>
          <w:p>
            <w:pPr>
              <w:pStyle w:val="8"/>
              <w:spacing w:before="23" w:line="177" w:lineRule="auto"/>
              <w:ind w:left="21" w:right="391" w:firstLine="9"/>
              <w:rPr>
                <w:lang w:eastAsia="zh-CN"/>
              </w:rPr>
            </w:pPr>
          </w:p>
        </w:tc>
        <w:tc>
          <w:tcPr>
            <w:tcW w:w="442" w:type="pct"/>
          </w:tcPr>
          <w:p>
            <w:pPr>
              <w:pStyle w:val="8"/>
              <w:spacing w:before="218" w:line="160" w:lineRule="exact"/>
              <w:ind w:left="30"/>
              <w:rPr>
                <w:rFonts w:hint="default"/>
                <w:lang w:val="en-US"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exact"/>
        </w:trPr>
        <w:tc>
          <w:tcPr>
            <w:tcW w:w="174" w:type="pct"/>
            <w:vMerge w:val="continue"/>
            <w:tcBorders>
              <w:top w:val="nil"/>
              <w:bottom w:val="nil"/>
            </w:tcBorders>
          </w:tcPr>
          <w:p/>
        </w:tc>
        <w:tc>
          <w:tcPr>
            <w:tcW w:w="251" w:type="pct"/>
            <w:vMerge w:val="continue"/>
            <w:tcBorders>
              <w:top w:val="nil"/>
              <w:bottom w:val="nil"/>
            </w:tcBorders>
          </w:tcPr>
          <w:p/>
        </w:tc>
        <w:tc>
          <w:tcPr>
            <w:tcW w:w="329" w:type="pct"/>
          </w:tcPr>
          <w:p>
            <w:pPr>
              <w:pStyle w:val="8"/>
              <w:spacing w:before="37" w:line="142" w:lineRule="exact"/>
              <w:ind w:left="29"/>
            </w:pPr>
            <w:r>
              <w:rPr>
                <w:spacing w:val="-2"/>
                <w:position w:val="-1"/>
              </w:rPr>
              <w:t>BRAF</w:t>
            </w:r>
          </w:p>
        </w:tc>
        <w:tc>
          <w:tcPr>
            <w:tcW w:w="381" w:type="pct"/>
          </w:tcPr>
          <w:p>
            <w:pPr>
              <w:pStyle w:val="8"/>
              <w:spacing w:before="25" w:line="154" w:lineRule="exact"/>
              <w:ind w:left="32"/>
            </w:pPr>
            <w:r>
              <w:rPr>
                <w:spacing w:val="1"/>
              </w:rPr>
              <w:t>1.指导靶向治疗</w:t>
            </w:r>
          </w:p>
        </w:tc>
        <w:tc>
          <w:tcPr>
            <w:tcW w:w="1278" w:type="pct"/>
          </w:tcPr>
          <w:p>
            <w:pPr>
              <w:pStyle w:val="8"/>
              <w:spacing w:before="24" w:line="155" w:lineRule="exact"/>
              <w:ind w:left="32"/>
              <w:rPr>
                <w:lang w:eastAsia="zh-CN"/>
              </w:rPr>
            </w:pPr>
            <w:r>
              <w:rPr>
                <w:lang w:eastAsia="zh-CN"/>
              </w:rPr>
              <w:t>FDA</w:t>
            </w:r>
            <w:r>
              <w:rPr>
                <w:spacing w:val="3"/>
                <w:lang w:eastAsia="zh-CN"/>
              </w:rPr>
              <w:t>批准曲美替尼联合达拉非尼用于治疗</w:t>
            </w:r>
            <w:r>
              <w:rPr>
                <w:lang w:eastAsia="zh-CN"/>
              </w:rPr>
              <w:t>BRAF</w:t>
            </w:r>
            <w:r>
              <w:rPr>
                <w:spacing w:val="25"/>
                <w:lang w:eastAsia="zh-CN"/>
              </w:rPr>
              <w:t xml:space="preserve"> </w:t>
            </w:r>
            <w:r>
              <w:rPr>
                <w:lang w:eastAsia="zh-CN"/>
              </w:rPr>
              <w:t>p</w:t>
            </w:r>
            <w:r>
              <w:rPr>
                <w:spacing w:val="3"/>
                <w:lang w:eastAsia="zh-CN"/>
              </w:rPr>
              <w:t>.V600E突变的实体瘤</w:t>
            </w:r>
          </w:p>
        </w:tc>
        <w:tc>
          <w:tcPr>
            <w:tcW w:w="424" w:type="pct"/>
          </w:tcPr>
          <w:p>
            <w:pPr>
              <w:pStyle w:val="8"/>
              <w:spacing w:before="25" w:line="154" w:lineRule="exact"/>
              <w:ind w:left="29"/>
            </w:pPr>
            <w:r>
              <w:rPr>
                <w:spacing w:val="2"/>
              </w:rPr>
              <w:t>宫颈恶性肿瘤</w:t>
            </w:r>
          </w:p>
        </w:tc>
        <w:tc>
          <w:tcPr>
            <w:tcW w:w="567" w:type="pct"/>
          </w:tcPr>
          <w:p>
            <w:pPr>
              <w:pStyle w:val="8"/>
              <w:spacing w:line="178" w:lineRule="auto"/>
              <w:ind w:left="37"/>
              <w:rPr>
                <w:lang w:eastAsia="zh-CN"/>
              </w:rPr>
            </w:pPr>
            <w:r>
              <w:rPr>
                <w:spacing w:val="-1"/>
                <w:lang w:eastAsia="zh-CN"/>
              </w:rPr>
              <w:t>NCCN指南宫颈癌 （2024.V1）</w:t>
            </w:r>
          </w:p>
        </w:tc>
        <w:tc>
          <w:tcPr>
            <w:tcW w:w="425" w:type="pct"/>
          </w:tcPr>
          <w:p>
            <w:pPr>
              <w:pStyle w:val="8"/>
              <w:spacing w:line="178" w:lineRule="auto"/>
              <w:ind w:left="37"/>
              <w:rPr>
                <w:spacing w:val="-1"/>
                <w:lang w:eastAsia="zh-CN"/>
              </w:rPr>
            </w:pPr>
            <w:r>
              <w:rPr>
                <w:rFonts w:hint="eastAsia"/>
                <w:spacing w:val="-1"/>
                <w:lang w:eastAsia="zh-CN"/>
              </w:rPr>
              <w:t>是</w:t>
            </w:r>
          </w:p>
        </w:tc>
        <w:tc>
          <w:tcPr>
            <w:tcW w:w="725" w:type="pct"/>
          </w:tcPr>
          <w:p>
            <w:pPr>
              <w:pStyle w:val="8"/>
              <w:spacing w:line="178" w:lineRule="auto"/>
              <w:ind w:left="37"/>
              <w:rPr>
                <w:spacing w:val="-1"/>
              </w:rPr>
            </w:pPr>
          </w:p>
        </w:tc>
        <w:tc>
          <w:tcPr>
            <w:tcW w:w="442" w:type="pct"/>
          </w:tcPr>
          <w:p>
            <w:pPr>
              <w:pStyle w:val="8"/>
              <w:spacing w:before="218" w:line="160" w:lineRule="exact"/>
              <w:ind w:left="30"/>
              <w:rPr>
                <w:lang w:eastAsia="zh-CN"/>
              </w:rPr>
            </w:pPr>
            <w:r>
              <w:rPr>
                <w:rFonts w:hint="eastAsia"/>
                <w:lang w:eastAsia="zh-CN"/>
              </w:rPr>
              <w:t>1100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exact"/>
        </w:trPr>
        <w:tc>
          <w:tcPr>
            <w:tcW w:w="174" w:type="pct"/>
            <w:vMerge w:val="continue"/>
            <w:tcBorders>
              <w:top w:val="nil"/>
              <w:bottom w:val="nil"/>
            </w:tcBorders>
          </w:tcPr>
          <w:p/>
        </w:tc>
        <w:tc>
          <w:tcPr>
            <w:tcW w:w="251" w:type="pct"/>
            <w:vMerge w:val="continue"/>
            <w:tcBorders>
              <w:top w:val="nil"/>
              <w:bottom w:val="nil"/>
            </w:tcBorders>
          </w:tcPr>
          <w:p/>
        </w:tc>
        <w:tc>
          <w:tcPr>
            <w:tcW w:w="329" w:type="pct"/>
          </w:tcPr>
          <w:p>
            <w:pPr>
              <w:pStyle w:val="8"/>
              <w:spacing w:before="134" w:line="177" w:lineRule="auto"/>
              <w:ind w:left="18"/>
            </w:pPr>
            <w:r>
              <w:t>TP</w:t>
            </w:r>
            <w:r>
              <w:rPr>
                <w:spacing w:val="3"/>
              </w:rPr>
              <w:t>53</w:t>
            </w:r>
          </w:p>
        </w:tc>
        <w:tc>
          <w:tcPr>
            <w:tcW w:w="381" w:type="pct"/>
          </w:tcPr>
          <w:p>
            <w:pPr>
              <w:pStyle w:val="8"/>
              <w:spacing w:before="124" w:line="187" w:lineRule="auto"/>
              <w:ind w:left="18"/>
            </w:pPr>
            <w:r>
              <w:rPr>
                <w:spacing w:val="3"/>
              </w:rPr>
              <w:t>4.分子分型</w:t>
            </w:r>
          </w:p>
        </w:tc>
        <w:tc>
          <w:tcPr>
            <w:tcW w:w="1278" w:type="pct"/>
          </w:tcPr>
          <w:p>
            <w:pPr>
              <w:pStyle w:val="8"/>
              <w:spacing w:before="98" w:line="232" w:lineRule="auto"/>
              <w:ind w:left="15"/>
            </w:pPr>
            <w:r>
              <w:rPr>
                <w:spacing w:val="5"/>
              </w:rPr>
              <w:t>/</w:t>
            </w:r>
          </w:p>
        </w:tc>
        <w:tc>
          <w:tcPr>
            <w:tcW w:w="424" w:type="pct"/>
          </w:tcPr>
          <w:p>
            <w:pPr>
              <w:pStyle w:val="8"/>
              <w:spacing w:before="27" w:line="175" w:lineRule="auto"/>
              <w:ind w:left="23" w:right="108" w:firstLine="1"/>
              <w:rPr>
                <w:lang w:eastAsia="zh-CN"/>
              </w:rPr>
            </w:pPr>
            <w:r>
              <w:rPr>
                <w:spacing w:val="1"/>
                <w:lang w:eastAsia="zh-CN"/>
              </w:rPr>
              <w:t>子宫内膜癌， 用来行中高危患者的精确</w:t>
            </w:r>
            <w:r>
              <w:rPr>
                <w:spacing w:val="4"/>
                <w:lang w:eastAsia="zh-CN"/>
              </w:rPr>
              <w:t xml:space="preserve"> </w:t>
            </w:r>
            <w:r>
              <w:rPr>
                <w:lang w:eastAsia="zh-CN"/>
              </w:rPr>
              <w:t>风险分层， 指导临床辅助治疗</w:t>
            </w:r>
          </w:p>
        </w:tc>
        <w:tc>
          <w:tcPr>
            <w:tcW w:w="567" w:type="pct"/>
          </w:tcPr>
          <w:p>
            <w:pPr>
              <w:pStyle w:val="8"/>
              <w:spacing w:before="1" w:line="188" w:lineRule="auto"/>
              <w:ind w:left="25" w:right="62"/>
              <w:rPr>
                <w:lang w:eastAsia="zh-CN"/>
              </w:rPr>
            </w:pPr>
            <w:r>
              <w:rPr>
                <w:spacing w:val="1"/>
                <w:lang w:eastAsia="zh-CN"/>
              </w:rPr>
              <w:t>子宫内膜癌分子检测中国专家共识 （2021</w:t>
            </w:r>
            <w:r>
              <w:rPr>
                <w:spacing w:val="9"/>
                <w:lang w:eastAsia="zh-CN"/>
              </w:rPr>
              <w:t xml:space="preserve"> </w:t>
            </w:r>
            <w:r>
              <w:rPr>
                <w:lang w:eastAsia="zh-CN"/>
              </w:rPr>
              <w:t>版）</w:t>
            </w:r>
          </w:p>
        </w:tc>
        <w:tc>
          <w:tcPr>
            <w:tcW w:w="425" w:type="pct"/>
          </w:tcPr>
          <w:p>
            <w:pPr>
              <w:pStyle w:val="8"/>
              <w:spacing w:before="23" w:line="177" w:lineRule="auto"/>
              <w:ind w:left="21" w:right="391" w:firstLine="9"/>
              <w:rPr>
                <w:spacing w:val="1"/>
              </w:rPr>
            </w:pPr>
            <w:r>
              <w:rPr>
                <w:rFonts w:hint="eastAsia"/>
                <w:lang w:eastAsia="zh-CN"/>
              </w:rPr>
              <w:t>否</w:t>
            </w:r>
          </w:p>
        </w:tc>
        <w:tc>
          <w:tcPr>
            <w:tcW w:w="725" w:type="pct"/>
          </w:tcPr>
          <w:p>
            <w:pPr>
              <w:pStyle w:val="8"/>
              <w:spacing w:before="23" w:line="177" w:lineRule="auto"/>
              <w:ind w:left="21" w:right="391" w:firstLine="9"/>
              <w:rPr>
                <w:spacing w:val="1"/>
              </w:rPr>
            </w:pPr>
            <w:r>
              <w:rPr>
                <w:rFonts w:hint="eastAsia"/>
                <w:lang w:eastAsia="zh-CN"/>
              </w:rPr>
              <w:t>是，福建省肿瘤医院</w:t>
            </w:r>
          </w:p>
        </w:tc>
        <w:tc>
          <w:tcPr>
            <w:tcW w:w="442" w:type="pct"/>
          </w:tcPr>
          <w:p>
            <w:pPr>
              <w:pStyle w:val="8"/>
              <w:spacing w:before="218" w:line="160" w:lineRule="exact"/>
              <w:ind w:left="30"/>
              <w:rPr>
                <w:rFonts w:hint="default"/>
                <w:lang w:val="en-US" w:eastAsia="zh-CN"/>
              </w:rPr>
            </w:pPr>
            <w:r>
              <w:rPr>
                <w:rFonts w:hint="eastAsia"/>
                <w:lang w:val="en-US" w:eastAsia="zh-CN"/>
              </w:rPr>
              <w:t>550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5" w:hRule="exact"/>
        </w:trPr>
        <w:tc>
          <w:tcPr>
            <w:tcW w:w="174" w:type="pct"/>
            <w:vMerge w:val="continue"/>
            <w:tcBorders>
              <w:top w:val="nil"/>
              <w:bottom w:val="nil"/>
            </w:tcBorders>
          </w:tcPr>
          <w:p/>
        </w:tc>
        <w:tc>
          <w:tcPr>
            <w:tcW w:w="251" w:type="pct"/>
            <w:vMerge w:val="continue"/>
            <w:tcBorders>
              <w:top w:val="nil"/>
              <w:bottom w:val="nil"/>
            </w:tcBorders>
          </w:tcPr>
          <w:p/>
        </w:tc>
        <w:tc>
          <w:tcPr>
            <w:tcW w:w="329" w:type="pct"/>
          </w:tcPr>
          <w:p>
            <w:pPr>
              <w:spacing w:line="276" w:lineRule="auto"/>
            </w:pPr>
          </w:p>
          <w:p>
            <w:pPr>
              <w:spacing w:line="276" w:lineRule="auto"/>
            </w:pPr>
          </w:p>
          <w:p>
            <w:pPr>
              <w:spacing w:line="276" w:lineRule="auto"/>
            </w:pPr>
          </w:p>
          <w:p>
            <w:pPr>
              <w:spacing w:line="276" w:lineRule="auto"/>
            </w:pPr>
          </w:p>
          <w:p>
            <w:pPr>
              <w:pStyle w:val="8"/>
              <w:spacing w:before="60" w:line="232" w:lineRule="auto"/>
              <w:ind w:left="29"/>
            </w:pPr>
            <w:r>
              <w:t>MMR</w:t>
            </w:r>
            <w:r>
              <w:rPr>
                <w:spacing w:val="6"/>
              </w:rPr>
              <w:t>/</w:t>
            </w:r>
            <w:r>
              <w:t>MSI</w:t>
            </w:r>
          </w:p>
        </w:tc>
        <w:tc>
          <w:tcPr>
            <w:tcW w:w="381" w:type="pct"/>
          </w:tcPr>
          <w:p>
            <w:pPr>
              <w:spacing w:line="282" w:lineRule="auto"/>
            </w:pPr>
          </w:p>
          <w:p>
            <w:pPr>
              <w:spacing w:line="282" w:lineRule="auto"/>
            </w:pPr>
          </w:p>
          <w:p>
            <w:pPr>
              <w:spacing w:line="283" w:lineRule="auto"/>
            </w:pPr>
          </w:p>
          <w:p>
            <w:pPr>
              <w:spacing w:line="283" w:lineRule="auto"/>
            </w:pPr>
          </w:p>
          <w:p>
            <w:pPr>
              <w:pStyle w:val="8"/>
              <w:spacing w:before="61" w:line="187" w:lineRule="auto"/>
              <w:ind w:left="25"/>
            </w:pPr>
            <w:r>
              <w:rPr>
                <w:spacing w:val="2"/>
              </w:rPr>
              <w:t>2.指导免疫治疗</w:t>
            </w:r>
          </w:p>
        </w:tc>
        <w:tc>
          <w:tcPr>
            <w:tcW w:w="1278" w:type="pct"/>
            <w:vAlign w:val="center"/>
          </w:tcPr>
          <w:p>
            <w:pPr>
              <w:pStyle w:val="8"/>
              <w:spacing w:before="166" w:line="206" w:lineRule="auto"/>
              <w:ind w:left="18" w:right="6" w:firstLine="14"/>
              <w:rPr>
                <w:lang w:eastAsia="zh-CN"/>
              </w:rPr>
            </w:pPr>
            <w:r>
              <w:rPr>
                <w:spacing w:val="4"/>
                <w:lang w:eastAsia="zh-CN"/>
              </w:rPr>
              <w:t>1.</w:t>
            </w:r>
            <w:r>
              <w:rPr>
                <w:lang w:eastAsia="zh-CN"/>
              </w:rPr>
              <w:t>NMPA</w:t>
            </w:r>
            <w:r>
              <w:rPr>
                <w:spacing w:val="4"/>
                <w:lang w:eastAsia="zh-CN"/>
              </w:rPr>
              <w:t>批准普特利单抗用于既往接受一线及以上系统治疗失败的高度微卫星不</w:t>
            </w:r>
            <w:r>
              <w:rPr>
                <w:spacing w:val="6"/>
                <w:lang w:eastAsia="zh-CN"/>
              </w:rPr>
              <w:t xml:space="preserve"> 稳定型 （</w:t>
            </w:r>
            <w:r>
              <w:rPr>
                <w:lang w:eastAsia="zh-CN"/>
              </w:rPr>
              <w:t>MSI</w:t>
            </w:r>
            <w:r>
              <w:rPr>
                <w:spacing w:val="6"/>
                <w:lang w:eastAsia="zh-CN"/>
              </w:rPr>
              <w:t>-H） 或错配修复缺陷型 （</w:t>
            </w:r>
            <w:r>
              <w:rPr>
                <w:lang w:eastAsia="zh-CN"/>
              </w:rPr>
              <w:t>dMMR</w:t>
            </w:r>
            <w:r>
              <w:rPr>
                <w:spacing w:val="6"/>
                <w:lang w:eastAsia="zh-CN"/>
              </w:rPr>
              <w:t>） 的晚期实体瘤患者的治疗</w:t>
            </w:r>
            <w:r>
              <w:rPr>
                <w:spacing w:val="-22"/>
                <w:lang w:eastAsia="zh-CN"/>
              </w:rPr>
              <w:t xml:space="preserve"> </w:t>
            </w:r>
            <w:r>
              <w:rPr>
                <w:spacing w:val="6"/>
                <w:lang w:eastAsia="zh-CN"/>
              </w:rPr>
              <w:t>。</w:t>
            </w:r>
            <w:r>
              <w:rPr>
                <w:lang w:eastAsia="zh-CN"/>
              </w:rPr>
              <w:t xml:space="preserve"> </w:t>
            </w:r>
            <w:r>
              <w:rPr>
                <w:spacing w:val="5"/>
                <w:lang w:eastAsia="zh-CN"/>
              </w:rPr>
              <w:t>2.</w:t>
            </w:r>
            <w:r>
              <w:rPr>
                <w:lang w:eastAsia="zh-CN"/>
              </w:rPr>
              <w:t>NMPA</w:t>
            </w:r>
            <w:r>
              <w:rPr>
                <w:spacing w:val="5"/>
                <w:lang w:eastAsia="zh-CN"/>
              </w:rPr>
              <w:t>批准斯鲁利单抗用于经过标准治疗失败的、不</w:t>
            </w:r>
            <w:r>
              <w:rPr>
                <w:spacing w:val="4"/>
                <w:lang w:eastAsia="zh-CN"/>
              </w:rPr>
              <w:t>可切除或转移性高度微卫</w:t>
            </w:r>
            <w:r>
              <w:rPr>
                <w:lang w:eastAsia="zh-CN"/>
              </w:rPr>
              <w:t xml:space="preserve"> </w:t>
            </w:r>
            <w:r>
              <w:rPr>
                <w:spacing w:val="2"/>
                <w:lang w:eastAsia="zh-CN"/>
              </w:rPr>
              <w:t>星不稳定型 （</w:t>
            </w:r>
            <w:r>
              <w:rPr>
                <w:lang w:eastAsia="zh-CN"/>
              </w:rPr>
              <w:t>MSI</w:t>
            </w:r>
            <w:r>
              <w:rPr>
                <w:spacing w:val="2"/>
                <w:lang w:eastAsia="zh-CN"/>
              </w:rPr>
              <w:t>-H） 实体瘤。3.</w:t>
            </w:r>
            <w:r>
              <w:rPr>
                <w:lang w:eastAsia="zh-CN"/>
              </w:rPr>
              <w:t>NMPA</w:t>
            </w:r>
            <w:r>
              <w:rPr>
                <w:spacing w:val="2"/>
                <w:lang w:eastAsia="zh-CN"/>
              </w:rPr>
              <w:t>批准恩沃利单抗用于不可切除</w:t>
            </w:r>
            <w:r>
              <w:rPr>
                <w:spacing w:val="1"/>
                <w:lang w:eastAsia="zh-CN"/>
              </w:rPr>
              <w:t>或转移性</w:t>
            </w:r>
            <w:r>
              <w:rPr>
                <w:lang w:eastAsia="zh-CN"/>
              </w:rPr>
              <w:t xml:space="preserve"> </w:t>
            </w:r>
            <w:r>
              <w:rPr>
                <w:spacing w:val="2"/>
                <w:lang w:eastAsia="zh-CN"/>
              </w:rPr>
              <w:t>微卫星高度不稳定 （</w:t>
            </w:r>
            <w:r>
              <w:rPr>
                <w:lang w:eastAsia="zh-CN"/>
              </w:rPr>
              <w:t>MSI</w:t>
            </w:r>
            <w:r>
              <w:rPr>
                <w:spacing w:val="2"/>
                <w:lang w:eastAsia="zh-CN"/>
              </w:rPr>
              <w:t>-H） 或错配修复基因缺陷型 （</w:t>
            </w:r>
            <w:r>
              <w:rPr>
                <w:lang w:eastAsia="zh-CN"/>
              </w:rPr>
              <w:t>dMMR</w:t>
            </w:r>
            <w:r>
              <w:rPr>
                <w:spacing w:val="2"/>
                <w:lang w:eastAsia="zh-CN"/>
              </w:rPr>
              <w:t>） 的成人晚期实</w:t>
            </w:r>
            <w:r>
              <w:rPr>
                <w:spacing w:val="9"/>
                <w:lang w:eastAsia="zh-CN"/>
              </w:rPr>
              <w:t xml:space="preserve"> </w:t>
            </w:r>
            <w:r>
              <w:rPr>
                <w:spacing w:val="3"/>
                <w:lang w:eastAsia="zh-CN"/>
              </w:rPr>
              <w:t>体瘤患者的治疗， 包括既往经过氟尿嘧啶类、奥沙利铂和伊立替康治疗</w:t>
            </w:r>
            <w:r>
              <w:rPr>
                <w:spacing w:val="2"/>
                <w:lang w:eastAsia="zh-CN"/>
              </w:rPr>
              <w:t>后出现疾</w:t>
            </w:r>
            <w:r>
              <w:rPr>
                <w:lang w:eastAsia="zh-CN"/>
              </w:rPr>
              <w:t xml:space="preserve"> </w:t>
            </w:r>
            <w:r>
              <w:rPr>
                <w:spacing w:val="4"/>
                <w:lang w:eastAsia="zh-CN"/>
              </w:rPr>
              <w:t>病进展的晚期结直肠癌患者以及既往治疗后出现疾病进展且无满意替代治疗方案</w:t>
            </w:r>
            <w:r>
              <w:rPr>
                <w:spacing w:val="5"/>
                <w:lang w:eastAsia="zh-CN"/>
              </w:rPr>
              <w:t xml:space="preserve"> 的其他晚期实体瘤患者。4.</w:t>
            </w:r>
            <w:r>
              <w:rPr>
                <w:lang w:eastAsia="zh-CN"/>
              </w:rPr>
              <w:t>NMPA</w:t>
            </w:r>
            <w:r>
              <w:rPr>
                <w:spacing w:val="5"/>
                <w:lang w:eastAsia="zh-CN"/>
              </w:rPr>
              <w:t>批准替雷丽珠单抗用</w:t>
            </w:r>
            <w:r>
              <w:rPr>
                <w:spacing w:val="4"/>
                <w:lang w:eastAsia="zh-CN"/>
              </w:rPr>
              <w:t>于不可切除或转移性微卫</w:t>
            </w:r>
            <w:r>
              <w:rPr>
                <w:lang w:eastAsia="zh-CN"/>
              </w:rPr>
              <w:t xml:space="preserve"> </w:t>
            </w:r>
            <w:r>
              <w:rPr>
                <w:spacing w:val="8"/>
                <w:lang w:eastAsia="zh-CN"/>
              </w:rPr>
              <w:t>星高度不稳定型(</w:t>
            </w:r>
            <w:r>
              <w:rPr>
                <w:lang w:eastAsia="zh-CN"/>
              </w:rPr>
              <w:t>MSI</w:t>
            </w:r>
            <w:r>
              <w:rPr>
                <w:spacing w:val="8"/>
                <w:lang w:eastAsia="zh-CN"/>
              </w:rPr>
              <w:t>-H) 或错配修复基因缺陷型(</w:t>
            </w:r>
            <w:r>
              <w:rPr>
                <w:lang w:eastAsia="zh-CN"/>
              </w:rPr>
              <w:t>dMMR</w:t>
            </w:r>
            <w:r>
              <w:rPr>
                <w:spacing w:val="8"/>
                <w:lang w:eastAsia="zh-CN"/>
              </w:rPr>
              <w:t>)的成人晚期实体瘤</w:t>
            </w:r>
            <w:r>
              <w:rPr>
                <w:spacing w:val="-11"/>
                <w:lang w:eastAsia="zh-CN"/>
              </w:rPr>
              <w:t xml:space="preserve"> </w:t>
            </w:r>
            <w:r>
              <w:rPr>
                <w:spacing w:val="8"/>
                <w:lang w:eastAsia="zh-CN"/>
              </w:rPr>
              <w:t>。</w:t>
            </w:r>
            <w:r>
              <w:rPr>
                <w:lang w:eastAsia="zh-CN"/>
              </w:rPr>
              <w:t xml:space="preserve"> </w:t>
            </w:r>
            <w:r>
              <w:rPr>
                <w:spacing w:val="6"/>
                <w:lang w:eastAsia="zh-CN"/>
              </w:rPr>
              <w:t>5.</w:t>
            </w:r>
            <w:r>
              <w:rPr>
                <w:lang w:eastAsia="zh-CN"/>
              </w:rPr>
              <w:t>FDA</w:t>
            </w:r>
            <w:r>
              <w:rPr>
                <w:spacing w:val="6"/>
                <w:lang w:eastAsia="zh-CN"/>
              </w:rPr>
              <w:t>加速批准帕博利珠</w:t>
            </w:r>
            <w:r>
              <w:rPr>
                <w:spacing w:val="-20"/>
                <w:lang w:eastAsia="zh-CN"/>
              </w:rPr>
              <w:t xml:space="preserve"> </w:t>
            </w:r>
            <w:r>
              <w:rPr>
                <w:spacing w:val="6"/>
                <w:lang w:eastAsia="zh-CN"/>
              </w:rPr>
              <w:t>单</w:t>
            </w:r>
            <w:r>
              <w:rPr>
                <w:spacing w:val="-23"/>
                <w:lang w:eastAsia="zh-CN"/>
              </w:rPr>
              <w:t xml:space="preserve"> </w:t>
            </w:r>
            <w:r>
              <w:rPr>
                <w:spacing w:val="6"/>
                <w:lang w:eastAsia="zh-CN"/>
              </w:rPr>
              <w:t>抗</w:t>
            </w:r>
            <w:r>
              <w:rPr>
                <w:spacing w:val="-22"/>
                <w:lang w:eastAsia="zh-CN"/>
              </w:rPr>
              <w:t xml:space="preserve"> </w:t>
            </w:r>
            <w:r>
              <w:rPr>
                <w:spacing w:val="6"/>
                <w:lang w:eastAsia="zh-CN"/>
              </w:rPr>
              <w:t>用</w:t>
            </w:r>
            <w:r>
              <w:rPr>
                <w:spacing w:val="-23"/>
                <w:lang w:eastAsia="zh-CN"/>
              </w:rPr>
              <w:t xml:space="preserve"> </w:t>
            </w:r>
            <w:r>
              <w:rPr>
                <w:spacing w:val="6"/>
                <w:lang w:eastAsia="zh-CN"/>
              </w:rPr>
              <w:t>于</w:t>
            </w:r>
            <w:r>
              <w:rPr>
                <w:spacing w:val="-22"/>
                <w:lang w:eastAsia="zh-CN"/>
              </w:rPr>
              <w:t xml:space="preserve"> </w:t>
            </w:r>
            <w:r>
              <w:rPr>
                <w:spacing w:val="6"/>
                <w:lang w:eastAsia="zh-CN"/>
              </w:rPr>
              <w:t>无</w:t>
            </w:r>
            <w:r>
              <w:rPr>
                <w:spacing w:val="-24"/>
                <w:lang w:eastAsia="zh-CN"/>
              </w:rPr>
              <w:t xml:space="preserve"> </w:t>
            </w:r>
            <w:r>
              <w:rPr>
                <w:spacing w:val="6"/>
                <w:lang w:eastAsia="zh-CN"/>
              </w:rPr>
              <w:t>法</w:t>
            </w:r>
            <w:r>
              <w:rPr>
                <w:spacing w:val="-22"/>
                <w:lang w:eastAsia="zh-CN"/>
              </w:rPr>
              <w:t xml:space="preserve"> </w:t>
            </w:r>
            <w:r>
              <w:rPr>
                <w:spacing w:val="6"/>
                <w:lang w:eastAsia="zh-CN"/>
              </w:rPr>
              <w:t>切</w:t>
            </w:r>
            <w:r>
              <w:rPr>
                <w:spacing w:val="-17"/>
                <w:lang w:eastAsia="zh-CN"/>
              </w:rPr>
              <w:t xml:space="preserve"> </w:t>
            </w:r>
            <w:r>
              <w:rPr>
                <w:spacing w:val="6"/>
                <w:lang w:eastAsia="zh-CN"/>
              </w:rPr>
              <w:t>除</w:t>
            </w:r>
            <w:r>
              <w:rPr>
                <w:spacing w:val="-22"/>
                <w:lang w:eastAsia="zh-CN"/>
              </w:rPr>
              <w:t xml:space="preserve"> </w:t>
            </w:r>
            <w:r>
              <w:rPr>
                <w:spacing w:val="6"/>
                <w:lang w:eastAsia="zh-CN"/>
              </w:rPr>
              <w:t>或</w:t>
            </w:r>
            <w:r>
              <w:rPr>
                <w:spacing w:val="-24"/>
                <w:lang w:eastAsia="zh-CN"/>
              </w:rPr>
              <w:t xml:space="preserve"> </w:t>
            </w:r>
            <w:r>
              <w:rPr>
                <w:spacing w:val="6"/>
                <w:lang w:eastAsia="zh-CN"/>
              </w:rPr>
              <w:t>转</w:t>
            </w:r>
            <w:r>
              <w:rPr>
                <w:spacing w:val="-24"/>
                <w:lang w:eastAsia="zh-CN"/>
              </w:rPr>
              <w:t xml:space="preserve"> </w:t>
            </w:r>
            <w:r>
              <w:rPr>
                <w:spacing w:val="6"/>
                <w:lang w:eastAsia="zh-CN"/>
              </w:rPr>
              <w:t>移</w:t>
            </w:r>
            <w:r>
              <w:rPr>
                <w:spacing w:val="-23"/>
                <w:lang w:eastAsia="zh-CN"/>
              </w:rPr>
              <w:t xml:space="preserve"> </w:t>
            </w:r>
            <w:r>
              <w:rPr>
                <w:spacing w:val="6"/>
                <w:lang w:eastAsia="zh-CN"/>
              </w:rPr>
              <w:t>性</w:t>
            </w:r>
            <w:r>
              <w:rPr>
                <w:spacing w:val="-17"/>
                <w:lang w:eastAsia="zh-CN"/>
              </w:rPr>
              <w:t xml:space="preserve"> </w:t>
            </w:r>
            <w:r>
              <w:rPr>
                <w:spacing w:val="6"/>
                <w:lang w:eastAsia="zh-CN"/>
              </w:rPr>
              <w:t>的</w:t>
            </w:r>
            <w:r>
              <w:rPr>
                <w:spacing w:val="-23"/>
                <w:lang w:eastAsia="zh-CN"/>
              </w:rPr>
              <w:t xml:space="preserve"> </w:t>
            </w:r>
            <w:r>
              <w:rPr>
                <w:spacing w:val="6"/>
                <w:lang w:eastAsia="zh-CN"/>
              </w:rPr>
              <w:t>高</w:t>
            </w:r>
            <w:r>
              <w:rPr>
                <w:spacing w:val="-23"/>
                <w:lang w:eastAsia="zh-CN"/>
              </w:rPr>
              <w:t xml:space="preserve"> </w:t>
            </w:r>
            <w:r>
              <w:rPr>
                <w:spacing w:val="6"/>
                <w:lang w:eastAsia="zh-CN"/>
              </w:rPr>
              <w:t>微</w:t>
            </w:r>
            <w:r>
              <w:rPr>
                <w:spacing w:val="-21"/>
                <w:lang w:eastAsia="zh-CN"/>
              </w:rPr>
              <w:t xml:space="preserve"> </w:t>
            </w:r>
            <w:r>
              <w:rPr>
                <w:spacing w:val="6"/>
                <w:lang w:eastAsia="zh-CN"/>
              </w:rPr>
              <w:t>卫</w:t>
            </w:r>
            <w:r>
              <w:rPr>
                <w:spacing w:val="-22"/>
                <w:lang w:eastAsia="zh-CN"/>
              </w:rPr>
              <w:t xml:space="preserve"> </w:t>
            </w:r>
            <w:r>
              <w:rPr>
                <w:spacing w:val="6"/>
                <w:lang w:eastAsia="zh-CN"/>
              </w:rPr>
              <w:t>星</w:t>
            </w:r>
            <w:r>
              <w:rPr>
                <w:spacing w:val="-25"/>
                <w:lang w:eastAsia="zh-CN"/>
              </w:rPr>
              <w:t xml:space="preserve"> </w:t>
            </w:r>
            <w:r>
              <w:rPr>
                <w:spacing w:val="6"/>
                <w:lang w:eastAsia="zh-CN"/>
              </w:rPr>
              <w:t>不</w:t>
            </w:r>
            <w:r>
              <w:rPr>
                <w:spacing w:val="-24"/>
                <w:lang w:eastAsia="zh-CN"/>
              </w:rPr>
              <w:t xml:space="preserve"> </w:t>
            </w:r>
            <w:r>
              <w:rPr>
                <w:spacing w:val="6"/>
                <w:lang w:eastAsia="zh-CN"/>
              </w:rPr>
              <w:t>稳</w:t>
            </w:r>
            <w:r>
              <w:rPr>
                <w:spacing w:val="-24"/>
                <w:lang w:eastAsia="zh-CN"/>
              </w:rPr>
              <w:t xml:space="preserve"> </w:t>
            </w:r>
            <w:r>
              <w:rPr>
                <w:spacing w:val="6"/>
                <w:lang w:eastAsia="zh-CN"/>
              </w:rPr>
              <w:t>定</w:t>
            </w:r>
            <w:r>
              <w:rPr>
                <w:spacing w:val="-23"/>
                <w:lang w:eastAsia="zh-CN"/>
              </w:rPr>
              <w:t xml:space="preserve"> </w:t>
            </w:r>
            <w:r>
              <w:rPr>
                <w:spacing w:val="6"/>
                <w:lang w:eastAsia="zh-CN"/>
              </w:rPr>
              <w:t>性</w:t>
            </w:r>
            <w:r>
              <w:rPr>
                <w:lang w:eastAsia="zh-CN"/>
              </w:rPr>
              <w:t xml:space="preserve"> </w:t>
            </w:r>
            <w:r>
              <w:rPr>
                <w:spacing w:val="-1"/>
                <w:lang w:eastAsia="zh-CN"/>
              </w:rPr>
              <w:t>（</w:t>
            </w:r>
            <w:r>
              <w:rPr>
                <w:spacing w:val="-15"/>
                <w:lang w:eastAsia="zh-CN"/>
              </w:rPr>
              <w:t xml:space="preserve"> </w:t>
            </w:r>
            <w:r>
              <w:rPr>
                <w:spacing w:val="-1"/>
                <w:lang w:eastAsia="zh-CN"/>
              </w:rPr>
              <w:t>MSI-H） 或错配修复缺陷 （dMMR） 的成人和儿</w:t>
            </w:r>
            <w:r>
              <w:rPr>
                <w:spacing w:val="-2"/>
                <w:lang w:eastAsia="zh-CN"/>
              </w:rPr>
              <w:t>童实体瘤患者</w:t>
            </w:r>
          </w:p>
        </w:tc>
        <w:tc>
          <w:tcPr>
            <w:tcW w:w="424" w:type="pct"/>
          </w:tcPr>
          <w:p>
            <w:pPr>
              <w:spacing w:line="282" w:lineRule="auto"/>
              <w:rPr>
                <w:lang w:eastAsia="zh-CN"/>
              </w:rPr>
            </w:pPr>
          </w:p>
          <w:p>
            <w:pPr>
              <w:spacing w:line="282" w:lineRule="auto"/>
              <w:rPr>
                <w:lang w:eastAsia="zh-CN"/>
              </w:rPr>
            </w:pPr>
          </w:p>
          <w:p>
            <w:pPr>
              <w:spacing w:line="283" w:lineRule="auto"/>
              <w:rPr>
                <w:lang w:eastAsia="zh-CN"/>
              </w:rPr>
            </w:pPr>
          </w:p>
          <w:p>
            <w:pPr>
              <w:spacing w:line="283" w:lineRule="auto"/>
              <w:rPr>
                <w:lang w:eastAsia="zh-CN"/>
              </w:rPr>
            </w:pPr>
          </w:p>
          <w:p>
            <w:pPr>
              <w:pStyle w:val="8"/>
              <w:spacing w:before="61" w:line="187" w:lineRule="auto"/>
              <w:ind w:left="24"/>
            </w:pPr>
            <w:r>
              <w:rPr>
                <w:spacing w:val="3"/>
              </w:rPr>
              <w:t>子宫内膜癌</w:t>
            </w:r>
          </w:p>
        </w:tc>
        <w:tc>
          <w:tcPr>
            <w:tcW w:w="567" w:type="pct"/>
          </w:tcPr>
          <w:p>
            <w:pPr>
              <w:spacing w:line="276" w:lineRule="auto"/>
              <w:rPr>
                <w:lang w:eastAsia="zh-CN"/>
              </w:rPr>
            </w:pPr>
          </w:p>
          <w:p>
            <w:pPr>
              <w:spacing w:line="276" w:lineRule="auto"/>
              <w:rPr>
                <w:lang w:eastAsia="zh-CN"/>
              </w:rPr>
            </w:pPr>
          </w:p>
          <w:p>
            <w:pPr>
              <w:spacing w:line="276" w:lineRule="auto"/>
              <w:rPr>
                <w:lang w:eastAsia="zh-CN"/>
              </w:rPr>
            </w:pPr>
          </w:p>
          <w:p>
            <w:pPr>
              <w:spacing w:line="276" w:lineRule="auto"/>
              <w:rPr>
                <w:lang w:eastAsia="zh-CN"/>
              </w:rPr>
            </w:pPr>
          </w:p>
          <w:p>
            <w:pPr>
              <w:pStyle w:val="8"/>
              <w:spacing w:before="60" w:line="226" w:lineRule="auto"/>
              <w:ind w:left="37"/>
              <w:rPr>
                <w:lang w:eastAsia="zh-CN"/>
              </w:rPr>
            </w:pPr>
            <w:r>
              <w:rPr>
                <w:lang w:eastAsia="zh-CN"/>
              </w:rPr>
              <w:t>NCCN指南子宫肿瘤 （2024.V2）</w:t>
            </w:r>
          </w:p>
        </w:tc>
        <w:tc>
          <w:tcPr>
            <w:tcW w:w="425" w:type="pct"/>
          </w:tcPr>
          <w:p>
            <w:pPr>
              <w:pStyle w:val="8"/>
              <w:spacing w:before="23" w:line="177" w:lineRule="auto"/>
              <w:ind w:left="21" w:right="391" w:firstLine="9"/>
            </w:pPr>
            <w:r>
              <w:rPr>
                <w:rFonts w:hint="eastAsia"/>
                <w:lang w:eastAsia="zh-CN"/>
              </w:rPr>
              <w:t>否</w:t>
            </w:r>
          </w:p>
        </w:tc>
        <w:tc>
          <w:tcPr>
            <w:tcW w:w="725" w:type="pct"/>
          </w:tcPr>
          <w:p>
            <w:pPr>
              <w:pStyle w:val="8"/>
              <w:spacing w:before="23" w:line="177" w:lineRule="auto"/>
              <w:ind w:left="21" w:right="391" w:firstLine="9"/>
            </w:pPr>
            <w:r>
              <w:rPr>
                <w:rFonts w:hint="eastAsia"/>
                <w:lang w:eastAsia="zh-CN"/>
              </w:rPr>
              <w:t>是，福建省肿瘤医院</w:t>
            </w:r>
          </w:p>
        </w:tc>
        <w:tc>
          <w:tcPr>
            <w:tcW w:w="442" w:type="pct"/>
          </w:tcPr>
          <w:p>
            <w:pPr>
              <w:pStyle w:val="8"/>
              <w:spacing w:before="218" w:line="160" w:lineRule="exact"/>
              <w:ind w:left="30"/>
              <w:rPr>
                <w:lang w:eastAsia="zh-CN"/>
              </w:rPr>
            </w:pPr>
            <w:r>
              <w:rPr>
                <w:rFonts w:hint="eastAsia"/>
                <w:lang w:eastAsia="zh-CN"/>
              </w:rPr>
              <w:t>1</w:t>
            </w:r>
            <w:r>
              <w:rPr>
                <w:rFonts w:hint="eastAsia"/>
                <w:lang w:val="en-US" w:eastAsia="zh-CN"/>
              </w:rPr>
              <w:t>5</w:t>
            </w:r>
            <w:r>
              <w:rPr>
                <w:rFonts w:hint="eastAsia"/>
                <w:lang w:eastAsia="zh-CN"/>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exact"/>
        </w:trPr>
        <w:tc>
          <w:tcPr>
            <w:tcW w:w="174" w:type="pct"/>
            <w:vMerge w:val="continue"/>
            <w:tcBorders>
              <w:top w:val="nil"/>
              <w:bottom w:val="nil"/>
            </w:tcBorders>
          </w:tcPr>
          <w:p/>
        </w:tc>
        <w:tc>
          <w:tcPr>
            <w:tcW w:w="251" w:type="pct"/>
            <w:vMerge w:val="continue"/>
            <w:tcBorders>
              <w:top w:val="nil"/>
              <w:bottom w:val="nil"/>
            </w:tcBorders>
          </w:tcPr>
          <w:p/>
        </w:tc>
        <w:tc>
          <w:tcPr>
            <w:tcW w:w="329" w:type="pct"/>
          </w:tcPr>
          <w:p>
            <w:pPr>
              <w:pStyle w:val="8"/>
              <w:spacing w:before="143" w:line="226" w:lineRule="auto"/>
              <w:ind w:left="29"/>
            </w:pPr>
            <w:r>
              <w:t>ERBB</w:t>
            </w:r>
            <w:r>
              <w:rPr>
                <w:spacing w:val="2"/>
              </w:rPr>
              <w:t>2(</w:t>
            </w:r>
            <w:r>
              <w:t>HER</w:t>
            </w:r>
            <w:r>
              <w:rPr>
                <w:spacing w:val="2"/>
              </w:rPr>
              <w:t>2)</w:t>
            </w:r>
          </w:p>
        </w:tc>
        <w:tc>
          <w:tcPr>
            <w:tcW w:w="381" w:type="pct"/>
          </w:tcPr>
          <w:p>
            <w:pPr>
              <w:pStyle w:val="8"/>
              <w:spacing w:before="170" w:line="187" w:lineRule="auto"/>
              <w:ind w:left="32"/>
            </w:pPr>
            <w:r>
              <w:rPr>
                <w:spacing w:val="1"/>
              </w:rPr>
              <w:t>1.指导靶向治疗</w:t>
            </w:r>
          </w:p>
        </w:tc>
        <w:tc>
          <w:tcPr>
            <w:tcW w:w="1278" w:type="pct"/>
            <w:vAlign w:val="center"/>
          </w:tcPr>
          <w:p>
            <w:pPr>
              <w:pStyle w:val="8"/>
              <w:spacing w:before="39" w:line="212" w:lineRule="auto"/>
              <w:ind w:left="28" w:right="78" w:firstLine="4"/>
              <w:rPr>
                <w:lang w:eastAsia="zh-CN"/>
              </w:rPr>
            </w:pPr>
            <w:r>
              <w:rPr>
                <w:lang w:eastAsia="zh-CN"/>
              </w:rPr>
              <w:t>FDA</w:t>
            </w:r>
            <w:r>
              <w:rPr>
                <w:spacing w:val="2"/>
                <w:lang w:eastAsia="zh-CN"/>
              </w:rPr>
              <w:t>加速批准德曲妥珠单抗用于治疗不可切除或转移性的</w:t>
            </w:r>
            <w:r>
              <w:rPr>
                <w:lang w:eastAsia="zh-CN"/>
              </w:rPr>
              <w:t>HER</w:t>
            </w:r>
            <w:r>
              <w:rPr>
                <w:spacing w:val="2"/>
                <w:lang w:eastAsia="zh-CN"/>
              </w:rPr>
              <w:t>2阳性 （免疫组化</w:t>
            </w:r>
            <w:r>
              <w:rPr>
                <w:spacing w:val="16"/>
                <w:lang w:eastAsia="zh-CN"/>
              </w:rPr>
              <w:t xml:space="preserve"> </w:t>
            </w:r>
            <w:r>
              <w:rPr>
                <w:spacing w:val="-5"/>
                <w:lang w:eastAsia="zh-CN"/>
              </w:rPr>
              <w:t>3+） 实体瘤</w:t>
            </w:r>
          </w:p>
        </w:tc>
        <w:tc>
          <w:tcPr>
            <w:tcW w:w="424" w:type="pct"/>
          </w:tcPr>
          <w:p>
            <w:pPr>
              <w:pStyle w:val="8"/>
              <w:spacing w:before="170" w:line="187" w:lineRule="auto"/>
              <w:ind w:left="24"/>
            </w:pPr>
            <w:r>
              <w:rPr>
                <w:spacing w:val="3"/>
              </w:rPr>
              <w:t>子宫内膜癌</w:t>
            </w:r>
          </w:p>
        </w:tc>
        <w:tc>
          <w:tcPr>
            <w:tcW w:w="567" w:type="pct"/>
          </w:tcPr>
          <w:p>
            <w:pPr>
              <w:pStyle w:val="8"/>
              <w:spacing w:before="143" w:line="226" w:lineRule="auto"/>
              <w:ind w:left="37"/>
              <w:rPr>
                <w:lang w:eastAsia="zh-CN"/>
              </w:rPr>
            </w:pPr>
            <w:r>
              <w:rPr>
                <w:lang w:eastAsia="zh-CN"/>
              </w:rPr>
              <w:t>NCCN指南子宫肿瘤 （2024.V2）</w:t>
            </w:r>
          </w:p>
        </w:tc>
        <w:tc>
          <w:tcPr>
            <w:tcW w:w="425" w:type="pct"/>
          </w:tcPr>
          <w:p>
            <w:pPr>
              <w:pStyle w:val="8"/>
              <w:spacing w:before="23" w:line="177" w:lineRule="auto"/>
              <w:ind w:left="21" w:right="391" w:firstLine="9"/>
            </w:pPr>
            <w:r>
              <w:rPr>
                <w:rFonts w:hint="eastAsia"/>
                <w:lang w:eastAsia="zh-CN"/>
              </w:rPr>
              <w:t>是</w:t>
            </w:r>
          </w:p>
        </w:tc>
        <w:tc>
          <w:tcPr>
            <w:tcW w:w="725" w:type="pct"/>
          </w:tcPr>
          <w:p>
            <w:pPr>
              <w:pStyle w:val="8"/>
              <w:spacing w:before="23" w:line="177" w:lineRule="auto"/>
              <w:ind w:left="21" w:right="391" w:firstLine="9"/>
              <w:rPr>
                <w:lang w:eastAsia="zh-CN"/>
              </w:rPr>
            </w:pPr>
          </w:p>
        </w:tc>
        <w:tc>
          <w:tcPr>
            <w:tcW w:w="442" w:type="pct"/>
            <w:vAlign w:val="top"/>
          </w:tcPr>
          <w:p>
            <w:pPr>
              <w:pStyle w:val="8"/>
              <w:spacing w:before="218" w:line="160" w:lineRule="exact"/>
              <w:ind w:left="30" w:leftChars="0"/>
              <w:rPr>
                <w:lang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exact"/>
        </w:trPr>
        <w:tc>
          <w:tcPr>
            <w:tcW w:w="174" w:type="pct"/>
            <w:vMerge w:val="continue"/>
            <w:tcBorders>
              <w:top w:val="nil"/>
              <w:bottom w:val="nil"/>
            </w:tcBorders>
          </w:tcPr>
          <w:p>
            <w:pPr>
              <w:rPr>
                <w:lang w:eastAsia="zh-CN"/>
              </w:rPr>
            </w:pPr>
          </w:p>
        </w:tc>
        <w:tc>
          <w:tcPr>
            <w:tcW w:w="251" w:type="pct"/>
            <w:vMerge w:val="continue"/>
            <w:tcBorders>
              <w:top w:val="nil"/>
              <w:bottom w:val="nil"/>
            </w:tcBorders>
          </w:tcPr>
          <w:p>
            <w:pPr>
              <w:rPr>
                <w:lang w:eastAsia="zh-CN"/>
              </w:rPr>
            </w:pPr>
          </w:p>
        </w:tc>
        <w:tc>
          <w:tcPr>
            <w:tcW w:w="329" w:type="pct"/>
          </w:tcPr>
          <w:p>
            <w:pPr>
              <w:pStyle w:val="8"/>
              <w:spacing w:before="224" w:line="232" w:lineRule="auto"/>
              <w:ind w:left="29"/>
            </w:pPr>
            <w:r>
              <w:t>NTRK</w:t>
            </w:r>
            <w:r>
              <w:rPr>
                <w:spacing w:val="1"/>
              </w:rPr>
              <w:t>1/2/3</w:t>
            </w:r>
          </w:p>
        </w:tc>
        <w:tc>
          <w:tcPr>
            <w:tcW w:w="381" w:type="pct"/>
          </w:tcPr>
          <w:p>
            <w:pPr>
              <w:pStyle w:val="8"/>
              <w:spacing w:before="250" w:line="187" w:lineRule="auto"/>
              <w:ind w:left="32"/>
            </w:pPr>
            <w:r>
              <w:rPr>
                <w:spacing w:val="1"/>
              </w:rPr>
              <w:t>1.指导靶向治疗</w:t>
            </w:r>
          </w:p>
        </w:tc>
        <w:tc>
          <w:tcPr>
            <w:tcW w:w="1278" w:type="pct"/>
          </w:tcPr>
          <w:p>
            <w:pPr>
              <w:pStyle w:val="8"/>
              <w:spacing w:before="147" w:line="204" w:lineRule="auto"/>
              <w:ind w:left="21" w:right="119" w:firstLine="10"/>
              <w:rPr>
                <w:lang w:eastAsia="zh-CN"/>
              </w:rPr>
            </w:pPr>
            <w:r>
              <w:rPr>
                <w:lang w:eastAsia="zh-CN"/>
              </w:rPr>
              <w:t>NMPA</w:t>
            </w:r>
            <w:r>
              <w:rPr>
                <w:spacing w:val="2"/>
                <w:lang w:eastAsia="zh-CN"/>
              </w:rPr>
              <w:t>批准恩曲替尼用于12岁及以上， 经充分验证的检测方法诊断为携带神经</w:t>
            </w:r>
            <w:r>
              <w:rPr>
                <w:spacing w:val="12"/>
                <w:w w:val="102"/>
                <w:lang w:eastAsia="zh-CN"/>
              </w:rPr>
              <w:t xml:space="preserve"> </w:t>
            </w:r>
            <w:r>
              <w:rPr>
                <w:spacing w:val="4"/>
                <w:lang w:eastAsia="zh-CN"/>
              </w:rPr>
              <w:t>营养酪氨酸受体激酶(</w:t>
            </w:r>
            <w:r>
              <w:rPr>
                <w:lang w:eastAsia="zh-CN"/>
              </w:rPr>
              <w:t>NTRK</w:t>
            </w:r>
            <w:r>
              <w:rPr>
                <w:spacing w:val="4"/>
                <w:lang w:eastAsia="zh-CN"/>
              </w:rPr>
              <w:t>)融合基因且不包括已知获得性耐药突变的</w:t>
            </w:r>
            <w:r>
              <w:rPr>
                <w:spacing w:val="3"/>
                <w:lang w:eastAsia="zh-CN"/>
              </w:rPr>
              <w:t>实体瘤</w:t>
            </w:r>
          </w:p>
        </w:tc>
        <w:tc>
          <w:tcPr>
            <w:tcW w:w="424" w:type="pct"/>
          </w:tcPr>
          <w:p>
            <w:pPr>
              <w:pStyle w:val="8"/>
              <w:spacing w:before="250" w:line="187" w:lineRule="auto"/>
              <w:ind w:left="24"/>
            </w:pPr>
            <w:r>
              <w:rPr>
                <w:spacing w:val="3"/>
              </w:rPr>
              <w:t>子宫内膜癌</w:t>
            </w:r>
          </w:p>
        </w:tc>
        <w:tc>
          <w:tcPr>
            <w:tcW w:w="567" w:type="pct"/>
          </w:tcPr>
          <w:p>
            <w:pPr>
              <w:pStyle w:val="8"/>
              <w:spacing w:before="223" w:line="226" w:lineRule="auto"/>
              <w:ind w:left="37"/>
              <w:rPr>
                <w:lang w:eastAsia="zh-CN"/>
              </w:rPr>
            </w:pPr>
            <w:r>
              <w:rPr>
                <w:lang w:eastAsia="zh-CN"/>
              </w:rPr>
              <w:t>NCCN指南子宫肿瘤 （2024.V2）</w:t>
            </w:r>
          </w:p>
        </w:tc>
        <w:tc>
          <w:tcPr>
            <w:tcW w:w="425" w:type="pct"/>
          </w:tcPr>
          <w:p>
            <w:pPr>
              <w:pStyle w:val="8"/>
              <w:spacing w:before="23" w:line="177" w:lineRule="auto"/>
              <w:ind w:left="21" w:right="391" w:firstLine="9"/>
            </w:pPr>
            <w:r>
              <w:rPr>
                <w:rFonts w:hint="eastAsia"/>
                <w:lang w:eastAsia="zh-CN"/>
              </w:rPr>
              <w:t>否</w:t>
            </w:r>
          </w:p>
        </w:tc>
        <w:tc>
          <w:tcPr>
            <w:tcW w:w="725" w:type="pct"/>
          </w:tcPr>
          <w:p>
            <w:pPr>
              <w:pStyle w:val="8"/>
              <w:spacing w:before="23" w:line="177" w:lineRule="auto"/>
              <w:ind w:left="21" w:right="391" w:firstLine="9"/>
            </w:pPr>
            <w:r>
              <w:rPr>
                <w:rFonts w:hint="eastAsia"/>
                <w:lang w:eastAsia="zh-CN"/>
              </w:rPr>
              <w:t>是，福建省肿瘤医院</w:t>
            </w:r>
          </w:p>
        </w:tc>
        <w:tc>
          <w:tcPr>
            <w:tcW w:w="442" w:type="pct"/>
            <w:vAlign w:val="top"/>
          </w:tcPr>
          <w:p>
            <w:pPr>
              <w:pStyle w:val="8"/>
              <w:spacing w:before="218" w:line="160" w:lineRule="exact"/>
              <w:ind w:left="30" w:leftChars="0"/>
              <w:rPr>
                <w:lang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exact"/>
        </w:trPr>
        <w:tc>
          <w:tcPr>
            <w:tcW w:w="174" w:type="pct"/>
            <w:vMerge w:val="continue"/>
            <w:tcBorders>
              <w:top w:val="nil"/>
            </w:tcBorders>
          </w:tcPr>
          <w:p/>
        </w:tc>
        <w:tc>
          <w:tcPr>
            <w:tcW w:w="251" w:type="pct"/>
            <w:vMerge w:val="continue"/>
            <w:tcBorders>
              <w:top w:val="nil"/>
            </w:tcBorders>
          </w:tcPr>
          <w:p/>
        </w:tc>
        <w:tc>
          <w:tcPr>
            <w:tcW w:w="329" w:type="pct"/>
          </w:tcPr>
          <w:p>
            <w:pPr>
              <w:pStyle w:val="8"/>
              <w:spacing w:before="43" w:line="141" w:lineRule="exact"/>
              <w:ind w:left="29"/>
            </w:pPr>
            <w:r>
              <w:rPr>
                <w:spacing w:val="-2"/>
                <w:position w:val="-1"/>
              </w:rPr>
              <w:t>BRAF</w:t>
            </w:r>
          </w:p>
        </w:tc>
        <w:tc>
          <w:tcPr>
            <w:tcW w:w="381" w:type="pct"/>
          </w:tcPr>
          <w:p>
            <w:pPr>
              <w:pStyle w:val="8"/>
              <w:spacing w:before="31" w:line="153" w:lineRule="exact"/>
              <w:ind w:left="32"/>
            </w:pPr>
            <w:r>
              <w:rPr>
                <w:spacing w:val="1"/>
              </w:rPr>
              <w:t>1.指导靶向治疗</w:t>
            </w:r>
          </w:p>
        </w:tc>
        <w:tc>
          <w:tcPr>
            <w:tcW w:w="1278" w:type="pct"/>
          </w:tcPr>
          <w:p>
            <w:pPr>
              <w:pStyle w:val="8"/>
              <w:spacing w:before="30" w:line="155" w:lineRule="exact"/>
              <w:ind w:left="32"/>
              <w:rPr>
                <w:lang w:eastAsia="zh-CN"/>
              </w:rPr>
            </w:pPr>
            <w:r>
              <w:rPr>
                <w:lang w:eastAsia="zh-CN"/>
              </w:rPr>
              <w:t>FDA</w:t>
            </w:r>
            <w:r>
              <w:rPr>
                <w:spacing w:val="3"/>
                <w:lang w:eastAsia="zh-CN"/>
              </w:rPr>
              <w:t>批准曲美替尼联合达拉非尼用于治疗</w:t>
            </w:r>
            <w:r>
              <w:rPr>
                <w:lang w:eastAsia="zh-CN"/>
              </w:rPr>
              <w:t>BRAF</w:t>
            </w:r>
            <w:r>
              <w:rPr>
                <w:spacing w:val="25"/>
                <w:lang w:eastAsia="zh-CN"/>
              </w:rPr>
              <w:t xml:space="preserve"> </w:t>
            </w:r>
            <w:r>
              <w:rPr>
                <w:lang w:eastAsia="zh-CN"/>
              </w:rPr>
              <w:t>p</w:t>
            </w:r>
            <w:r>
              <w:rPr>
                <w:spacing w:val="3"/>
                <w:lang w:eastAsia="zh-CN"/>
              </w:rPr>
              <w:t>.V600E突变的实体瘤</w:t>
            </w:r>
          </w:p>
        </w:tc>
        <w:tc>
          <w:tcPr>
            <w:tcW w:w="424" w:type="pct"/>
          </w:tcPr>
          <w:p>
            <w:pPr>
              <w:pStyle w:val="8"/>
              <w:spacing w:before="31" w:line="153" w:lineRule="exact"/>
              <w:ind w:left="24"/>
            </w:pPr>
            <w:r>
              <w:rPr>
                <w:spacing w:val="3"/>
              </w:rPr>
              <w:t>子宫内膜癌</w:t>
            </w:r>
          </w:p>
        </w:tc>
        <w:tc>
          <w:tcPr>
            <w:tcW w:w="567" w:type="pct"/>
          </w:tcPr>
          <w:p>
            <w:pPr>
              <w:pStyle w:val="8"/>
              <w:spacing w:before="4" w:line="180" w:lineRule="auto"/>
              <w:ind w:left="37"/>
              <w:rPr>
                <w:lang w:eastAsia="zh-CN"/>
              </w:rPr>
            </w:pPr>
            <w:r>
              <w:rPr>
                <w:lang w:eastAsia="zh-CN"/>
              </w:rPr>
              <w:t>NCCN指南子宫肿瘤 （2024.V2）</w:t>
            </w:r>
          </w:p>
        </w:tc>
        <w:tc>
          <w:tcPr>
            <w:tcW w:w="425" w:type="pct"/>
          </w:tcPr>
          <w:p>
            <w:pPr>
              <w:pStyle w:val="8"/>
              <w:spacing w:before="4" w:line="180" w:lineRule="auto"/>
              <w:ind w:left="37"/>
              <w:rPr>
                <w:lang w:eastAsia="zh-CN"/>
              </w:rPr>
            </w:pPr>
            <w:r>
              <w:rPr>
                <w:rFonts w:hint="eastAsia"/>
                <w:lang w:eastAsia="zh-CN"/>
              </w:rPr>
              <w:t>是</w:t>
            </w:r>
          </w:p>
        </w:tc>
        <w:tc>
          <w:tcPr>
            <w:tcW w:w="725" w:type="pct"/>
          </w:tcPr>
          <w:p>
            <w:pPr>
              <w:pStyle w:val="8"/>
              <w:spacing w:before="4" w:line="180" w:lineRule="auto"/>
              <w:ind w:left="37"/>
            </w:pPr>
          </w:p>
        </w:tc>
        <w:tc>
          <w:tcPr>
            <w:tcW w:w="442" w:type="pct"/>
          </w:tcPr>
          <w:p>
            <w:pPr>
              <w:pStyle w:val="8"/>
              <w:spacing w:before="218" w:line="160" w:lineRule="exact"/>
              <w:ind w:left="30"/>
              <w:rPr>
                <w:lang w:eastAsia="zh-CN"/>
              </w:rPr>
            </w:pPr>
            <w:r>
              <w:rPr>
                <w:rFonts w:hint="eastAsia"/>
                <w:lang w:eastAsia="zh-CN"/>
              </w:rPr>
              <w:t>1100</w:t>
            </w:r>
          </w:p>
        </w:tc>
      </w:tr>
    </w:tbl>
    <w:p>
      <w:pPr>
        <w:spacing w:line="214" w:lineRule="exact"/>
        <w:rPr>
          <w:sz w:val="18"/>
        </w:rPr>
      </w:pPr>
    </w:p>
    <w:p>
      <w:pPr>
        <w:spacing w:line="48" w:lineRule="exact"/>
      </w:pPr>
    </w:p>
    <w:tbl>
      <w:tblPr>
        <w:tblStyle w:val="7"/>
        <w:tblW w:w="1501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8"/>
        <w:gridCol w:w="701"/>
        <w:gridCol w:w="950"/>
        <w:gridCol w:w="705"/>
        <w:gridCol w:w="4202"/>
        <w:gridCol w:w="2410"/>
        <w:gridCol w:w="2126"/>
        <w:gridCol w:w="1116"/>
        <w:gridCol w:w="1436"/>
        <w:gridCol w:w="9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atLeast"/>
        </w:trPr>
        <w:tc>
          <w:tcPr>
            <w:tcW w:w="378" w:type="dxa"/>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序号</w:t>
            </w:r>
          </w:p>
        </w:tc>
        <w:tc>
          <w:tcPr>
            <w:tcW w:w="701" w:type="dxa"/>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病种名称</w:t>
            </w:r>
          </w:p>
        </w:tc>
        <w:tc>
          <w:tcPr>
            <w:tcW w:w="950" w:type="dxa"/>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对应检测基因</w:t>
            </w:r>
          </w:p>
        </w:tc>
        <w:tc>
          <w:tcPr>
            <w:tcW w:w="705" w:type="dxa"/>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检测意义</w:t>
            </w:r>
          </w:p>
        </w:tc>
        <w:tc>
          <w:tcPr>
            <w:tcW w:w="4202" w:type="dxa"/>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指南推荐药物</w:t>
            </w:r>
          </w:p>
        </w:tc>
        <w:tc>
          <w:tcPr>
            <w:tcW w:w="2410" w:type="dxa"/>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基因检测适应症</w:t>
            </w:r>
          </w:p>
        </w:tc>
        <w:tc>
          <w:tcPr>
            <w:tcW w:w="2126" w:type="dxa"/>
          </w:tcPr>
          <w:p>
            <w:pPr>
              <w:spacing w:before="155" w:line="180" w:lineRule="exact"/>
              <w:ind w:left="192"/>
              <w:jc w:val="center"/>
              <w:rPr>
                <w:rFonts w:ascii="黑体" w:hAnsi="黑体" w:eastAsia="黑体" w:cs="黑体"/>
                <w:b/>
                <w:bCs/>
                <w:spacing w:val="1"/>
                <w:sz w:val="14"/>
                <w:szCs w:val="14"/>
              </w:rPr>
            </w:pPr>
            <w:r>
              <w:rPr>
                <w:rFonts w:ascii="黑体" w:hAnsi="黑体" w:eastAsia="黑体" w:cs="黑体"/>
                <w:b/>
                <w:bCs/>
                <w:spacing w:val="1"/>
                <w:sz w:val="14"/>
                <w:szCs w:val="14"/>
              </w:rPr>
              <w:t>诊疗规范或指南依据</w:t>
            </w:r>
          </w:p>
        </w:tc>
        <w:tc>
          <w:tcPr>
            <w:tcW w:w="1116" w:type="dxa"/>
            <w:vAlign w:val="center"/>
          </w:tcPr>
          <w:p>
            <w:pPr>
              <w:spacing w:before="155" w:line="180" w:lineRule="exact"/>
              <w:jc w:val="both"/>
              <w:rPr>
                <w:rFonts w:ascii="黑体" w:hAnsi="黑体" w:eastAsia="黑体" w:cs="黑体"/>
                <w:b/>
                <w:bCs/>
                <w:spacing w:val="1"/>
                <w:sz w:val="14"/>
                <w:szCs w:val="14"/>
              </w:rPr>
            </w:pPr>
            <w:r>
              <w:rPr>
                <w:rFonts w:hint="eastAsia" w:ascii="黑体" w:hAnsi="黑体" w:eastAsia="黑体" w:cs="黑体"/>
                <w:b/>
                <w:bCs/>
                <w:spacing w:val="1"/>
                <w:sz w:val="14"/>
                <w:szCs w:val="14"/>
                <w:lang w:eastAsia="zh-CN"/>
              </w:rPr>
              <w:t>是否本机构开展</w:t>
            </w:r>
          </w:p>
        </w:tc>
        <w:tc>
          <w:tcPr>
            <w:tcW w:w="1436" w:type="dxa"/>
            <w:vAlign w:val="center"/>
          </w:tcPr>
          <w:p>
            <w:pPr>
              <w:spacing w:before="155" w:line="180" w:lineRule="exact"/>
              <w:jc w:val="both"/>
              <w:rPr>
                <w:rFonts w:ascii="黑体" w:hAnsi="黑体" w:eastAsia="黑体" w:cs="黑体"/>
                <w:b/>
                <w:bCs/>
                <w:spacing w:val="1"/>
                <w:sz w:val="14"/>
                <w:szCs w:val="14"/>
                <w:lang w:eastAsia="zh-CN"/>
              </w:rPr>
            </w:pPr>
            <w:r>
              <w:rPr>
                <w:rFonts w:hint="eastAsia" w:ascii="黑体" w:hAnsi="黑体" w:eastAsia="黑体" w:cs="黑体"/>
                <w:b/>
                <w:bCs/>
                <w:spacing w:val="1"/>
                <w:sz w:val="14"/>
                <w:szCs w:val="14"/>
                <w:lang w:eastAsia="zh-CN"/>
              </w:rPr>
              <w:t>是否外送，外送机构</w:t>
            </w:r>
          </w:p>
        </w:tc>
        <w:tc>
          <w:tcPr>
            <w:tcW w:w="988" w:type="dxa"/>
            <w:vAlign w:val="center"/>
          </w:tcPr>
          <w:p>
            <w:pPr>
              <w:spacing w:before="155" w:line="180" w:lineRule="exact"/>
              <w:ind w:left="192"/>
              <w:jc w:val="center"/>
              <w:rPr>
                <w:rFonts w:ascii="黑体" w:hAnsi="黑体" w:eastAsia="黑体" w:cs="黑体"/>
                <w:b/>
                <w:bCs/>
                <w:spacing w:val="1"/>
                <w:sz w:val="14"/>
                <w:szCs w:val="14"/>
                <w:lang w:eastAsia="zh-CN"/>
              </w:rPr>
            </w:pPr>
            <w:r>
              <w:rPr>
                <w:rFonts w:hint="eastAsia" w:ascii="黑体" w:hAnsi="黑体" w:eastAsia="黑体" w:cs="黑体"/>
                <w:b/>
                <w:bCs/>
                <w:spacing w:val="1"/>
                <w:sz w:val="14"/>
                <w:szCs w:val="14"/>
                <w:lang w:eastAsia="zh-CN"/>
              </w:rPr>
              <w:t>价格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3" w:hRule="atLeast"/>
        </w:trPr>
        <w:tc>
          <w:tcPr>
            <w:tcW w:w="378" w:type="dxa"/>
            <w:vMerge w:val="restart"/>
            <w:tcBorders>
              <w:bottom w:val="nil"/>
            </w:tcBorders>
          </w:tcPr>
          <w:p>
            <w:pPr>
              <w:spacing w:line="255"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pStyle w:val="8"/>
              <w:spacing w:before="60" w:line="177" w:lineRule="auto"/>
              <w:ind w:left="36"/>
            </w:pPr>
            <w:r>
              <w:rPr>
                <w:spacing w:val="-5"/>
              </w:rPr>
              <w:t>16</w:t>
            </w:r>
          </w:p>
        </w:tc>
        <w:tc>
          <w:tcPr>
            <w:tcW w:w="701" w:type="dxa"/>
            <w:vMerge w:val="restart"/>
            <w:tcBorders>
              <w:bottom w:val="nil"/>
            </w:tcBorders>
          </w:tcPr>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5" w:lineRule="auto"/>
              <w:rPr>
                <w:lang w:eastAsia="zh-CN"/>
              </w:rPr>
            </w:pPr>
          </w:p>
          <w:p>
            <w:pPr>
              <w:spacing w:line="245" w:lineRule="auto"/>
              <w:rPr>
                <w:lang w:eastAsia="zh-CN"/>
              </w:rPr>
            </w:pPr>
          </w:p>
          <w:p>
            <w:pPr>
              <w:spacing w:line="245" w:lineRule="auto"/>
              <w:rPr>
                <w:lang w:eastAsia="zh-CN"/>
              </w:rPr>
            </w:pPr>
          </w:p>
          <w:p>
            <w:pPr>
              <w:spacing w:line="245" w:lineRule="auto"/>
              <w:rPr>
                <w:lang w:eastAsia="zh-CN"/>
              </w:rPr>
            </w:pPr>
          </w:p>
          <w:p>
            <w:pPr>
              <w:spacing w:line="245" w:lineRule="auto"/>
              <w:rPr>
                <w:lang w:eastAsia="zh-CN"/>
              </w:rPr>
            </w:pPr>
          </w:p>
          <w:p>
            <w:pPr>
              <w:pStyle w:val="8"/>
              <w:spacing w:before="60" w:line="210" w:lineRule="auto"/>
              <w:ind w:left="17" w:right="77" w:firstLine="2"/>
              <w:rPr>
                <w:lang w:eastAsia="zh-CN"/>
              </w:rPr>
            </w:pPr>
            <w:r>
              <w:rPr>
                <w:spacing w:val="3"/>
                <w:lang w:eastAsia="zh-CN"/>
              </w:rPr>
              <w:t>卵巢/输卵管/原发腹</w:t>
            </w:r>
            <w:r>
              <w:rPr>
                <w:lang w:eastAsia="zh-CN"/>
              </w:rPr>
              <w:t xml:space="preserve"> </w:t>
            </w:r>
            <w:r>
              <w:rPr>
                <w:spacing w:val="2"/>
                <w:lang w:eastAsia="zh-CN"/>
              </w:rPr>
              <w:t>膜癌</w:t>
            </w:r>
          </w:p>
        </w:tc>
        <w:tc>
          <w:tcPr>
            <w:tcW w:w="950" w:type="dxa"/>
          </w:tcPr>
          <w:p>
            <w:pPr>
              <w:spacing w:line="293" w:lineRule="auto"/>
              <w:rPr>
                <w:lang w:eastAsia="zh-CN"/>
              </w:rPr>
            </w:pPr>
          </w:p>
          <w:p>
            <w:pPr>
              <w:pStyle w:val="8"/>
              <w:spacing w:before="60" w:line="232" w:lineRule="auto"/>
              <w:ind w:left="29"/>
            </w:pPr>
            <w:r>
              <w:t>BRCA</w:t>
            </w:r>
            <w:r>
              <w:rPr>
                <w:spacing w:val="1"/>
              </w:rPr>
              <w:t>1/2</w:t>
            </w:r>
          </w:p>
        </w:tc>
        <w:tc>
          <w:tcPr>
            <w:tcW w:w="705" w:type="dxa"/>
          </w:tcPr>
          <w:p>
            <w:pPr>
              <w:spacing w:line="319" w:lineRule="auto"/>
            </w:pPr>
          </w:p>
          <w:p>
            <w:pPr>
              <w:pStyle w:val="8"/>
              <w:spacing w:before="60" w:line="187" w:lineRule="auto"/>
              <w:ind w:left="32"/>
            </w:pPr>
            <w:r>
              <w:rPr>
                <w:spacing w:val="1"/>
              </w:rPr>
              <w:t>1.指导靶向治疗</w:t>
            </w:r>
          </w:p>
        </w:tc>
        <w:tc>
          <w:tcPr>
            <w:tcW w:w="4202" w:type="dxa"/>
          </w:tcPr>
          <w:p>
            <w:pPr>
              <w:pStyle w:val="8"/>
              <w:spacing w:before="73" w:line="205" w:lineRule="auto"/>
              <w:ind w:left="19" w:right="14" w:firstLine="12"/>
              <w:rPr>
                <w:lang w:eastAsia="zh-CN"/>
              </w:rPr>
            </w:pPr>
            <w:r>
              <w:rPr>
                <w:lang w:eastAsia="zh-CN"/>
              </w:rPr>
              <w:t>FDA</w:t>
            </w:r>
            <w:r>
              <w:rPr>
                <w:spacing w:val="4"/>
                <w:lang w:eastAsia="zh-CN"/>
              </w:rPr>
              <w:t>及</w:t>
            </w:r>
            <w:r>
              <w:rPr>
                <w:lang w:eastAsia="zh-CN"/>
              </w:rPr>
              <w:t>NMPA</w:t>
            </w:r>
            <w:r>
              <w:rPr>
                <w:spacing w:val="4"/>
                <w:lang w:eastAsia="zh-CN"/>
              </w:rPr>
              <w:t>批准奥拉帕尼用于新诊断</w:t>
            </w:r>
            <w:r>
              <w:rPr>
                <w:lang w:eastAsia="zh-CN"/>
              </w:rPr>
              <w:t>BRCA</w:t>
            </w:r>
            <w:r>
              <w:rPr>
                <w:spacing w:val="4"/>
                <w:lang w:eastAsia="zh-CN"/>
              </w:rPr>
              <w:t>突变上皮性卵巢癌、输卵管癌或原</w:t>
            </w:r>
            <w:r>
              <w:rPr>
                <w:spacing w:val="6"/>
                <w:lang w:eastAsia="zh-CN"/>
              </w:rPr>
              <w:t xml:space="preserve">  </w:t>
            </w:r>
            <w:r>
              <w:rPr>
                <w:spacing w:val="3"/>
                <w:lang w:eastAsia="zh-CN"/>
              </w:rPr>
              <w:t>发性腹膜癌成人患者， 在一线含铂化疗方案达到完</w:t>
            </w:r>
            <w:r>
              <w:rPr>
                <w:spacing w:val="2"/>
                <w:lang w:eastAsia="zh-CN"/>
              </w:rPr>
              <w:t>全缓解或部分缓解后的维持治</w:t>
            </w:r>
            <w:r>
              <w:rPr>
                <w:lang w:eastAsia="zh-CN"/>
              </w:rPr>
              <w:t xml:space="preserve"> </w:t>
            </w:r>
            <w:r>
              <w:rPr>
                <w:spacing w:val="2"/>
                <w:lang w:eastAsia="zh-CN"/>
              </w:rPr>
              <w:t xml:space="preserve">疗； </w:t>
            </w:r>
            <w:r>
              <w:rPr>
                <w:lang w:eastAsia="zh-CN"/>
              </w:rPr>
              <w:t>NMPA</w:t>
            </w:r>
            <w:r>
              <w:rPr>
                <w:spacing w:val="2"/>
                <w:lang w:eastAsia="zh-CN"/>
              </w:rPr>
              <w:t>批准帕米帕利、氟唑帕利用于经≥二</w:t>
            </w:r>
            <w:r>
              <w:rPr>
                <w:spacing w:val="1"/>
                <w:lang w:eastAsia="zh-CN"/>
              </w:rPr>
              <w:t xml:space="preserve">线化疗后， </w:t>
            </w:r>
            <w:r>
              <w:rPr>
                <w:lang w:eastAsia="zh-CN"/>
              </w:rPr>
              <w:t>BRCA</w:t>
            </w:r>
            <w:r>
              <w:rPr>
                <w:spacing w:val="1"/>
                <w:lang w:eastAsia="zh-CN"/>
              </w:rPr>
              <w:t>胚系突变的复</w:t>
            </w:r>
            <w:r>
              <w:rPr>
                <w:lang w:eastAsia="zh-CN"/>
              </w:rPr>
              <w:t xml:space="preserve">   </w:t>
            </w:r>
            <w:r>
              <w:rPr>
                <w:spacing w:val="4"/>
                <w:lang w:eastAsia="zh-CN"/>
              </w:rPr>
              <w:t>发性的晚期卵巢癌、输卵管癌或原发性腹膜癌成</w:t>
            </w:r>
            <w:r>
              <w:rPr>
                <w:spacing w:val="3"/>
                <w:lang w:eastAsia="zh-CN"/>
              </w:rPr>
              <w:t>人患者</w:t>
            </w:r>
          </w:p>
        </w:tc>
        <w:tc>
          <w:tcPr>
            <w:tcW w:w="2410" w:type="dxa"/>
          </w:tcPr>
          <w:p>
            <w:pPr>
              <w:pStyle w:val="8"/>
              <w:spacing w:before="278" w:line="204" w:lineRule="auto"/>
              <w:ind w:left="23" w:right="108" w:firstLine="1"/>
              <w:rPr>
                <w:lang w:eastAsia="zh-CN"/>
              </w:rPr>
            </w:pPr>
            <w:r>
              <w:rPr>
                <w:spacing w:val="3"/>
                <w:lang w:eastAsia="zh-CN"/>
              </w:rPr>
              <w:t>上皮性卵巢癌、输卵管癌或原发性腹膜</w:t>
            </w:r>
            <w:r>
              <w:rPr>
                <w:spacing w:val="12"/>
                <w:lang w:eastAsia="zh-CN"/>
              </w:rPr>
              <w:t xml:space="preserve"> </w:t>
            </w:r>
            <w:r>
              <w:rPr>
                <w:spacing w:val="1"/>
                <w:lang w:eastAsia="zh-CN"/>
              </w:rPr>
              <w:t>癌</w:t>
            </w:r>
          </w:p>
        </w:tc>
        <w:tc>
          <w:tcPr>
            <w:tcW w:w="2126" w:type="dxa"/>
          </w:tcPr>
          <w:p>
            <w:pPr>
              <w:pStyle w:val="8"/>
              <w:spacing w:before="251" w:line="216" w:lineRule="auto"/>
              <w:ind w:left="25" w:right="141" w:firstLine="11"/>
              <w:rPr>
                <w:lang w:eastAsia="zh-CN"/>
              </w:rPr>
            </w:pPr>
            <w:r>
              <w:rPr>
                <w:lang w:eastAsia="zh-CN"/>
              </w:rPr>
              <w:t>NCCN</w:t>
            </w:r>
            <w:r>
              <w:rPr>
                <w:spacing w:val="3"/>
                <w:lang w:eastAsia="zh-CN"/>
              </w:rPr>
              <w:t>指南卵巢癌/输卵管癌/原发性腹膜</w:t>
            </w:r>
            <w:r>
              <w:rPr>
                <w:spacing w:val="7"/>
                <w:lang w:eastAsia="zh-CN"/>
              </w:rPr>
              <w:t xml:space="preserve"> </w:t>
            </w:r>
            <w:r>
              <w:rPr>
                <w:spacing w:val="-2"/>
                <w:lang w:eastAsia="zh-CN"/>
              </w:rPr>
              <w:t>癌 （2024.V1）</w:t>
            </w:r>
          </w:p>
        </w:tc>
        <w:tc>
          <w:tcPr>
            <w:tcW w:w="1116" w:type="dxa"/>
          </w:tcPr>
          <w:p>
            <w:pPr>
              <w:pStyle w:val="8"/>
              <w:spacing w:before="23" w:line="177" w:lineRule="auto"/>
              <w:ind w:left="21" w:right="391" w:firstLine="9"/>
            </w:pPr>
            <w:r>
              <w:rPr>
                <w:rFonts w:hint="eastAsia"/>
                <w:lang w:eastAsia="zh-CN"/>
              </w:rPr>
              <w:t>否</w:t>
            </w:r>
          </w:p>
        </w:tc>
        <w:tc>
          <w:tcPr>
            <w:tcW w:w="1436" w:type="dxa"/>
          </w:tcPr>
          <w:p>
            <w:pPr>
              <w:pStyle w:val="8"/>
              <w:spacing w:before="23" w:line="177" w:lineRule="auto"/>
              <w:ind w:left="21" w:right="391" w:firstLine="9"/>
            </w:pPr>
            <w:r>
              <w:rPr>
                <w:rFonts w:hint="eastAsia"/>
                <w:lang w:eastAsia="zh-CN"/>
              </w:rPr>
              <w:t>是，福建省肿瘤医院</w:t>
            </w:r>
          </w:p>
        </w:tc>
        <w:tc>
          <w:tcPr>
            <w:tcW w:w="988" w:type="dxa"/>
          </w:tcPr>
          <w:p>
            <w:pPr>
              <w:pStyle w:val="8"/>
              <w:spacing w:before="218" w:line="160" w:lineRule="exact"/>
              <w:ind w:left="30"/>
              <w:rPr>
                <w:lang w:eastAsia="zh-CN"/>
              </w:rPr>
            </w:pPr>
            <w:r>
              <w:rPr>
                <w:rFonts w:hint="eastAsia"/>
                <w:lang w:val="en-US" w:eastAsia="zh-CN"/>
              </w:rPr>
              <w:t>25</w:t>
            </w:r>
            <w:r>
              <w:rPr>
                <w:rFonts w:hint="eastAsia"/>
                <w:lang w:eastAsia="zh-CN"/>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5" w:hRule="atLeast"/>
        </w:trPr>
        <w:tc>
          <w:tcPr>
            <w:tcW w:w="378" w:type="dxa"/>
            <w:vMerge w:val="continue"/>
            <w:tcBorders>
              <w:top w:val="nil"/>
              <w:bottom w:val="nil"/>
            </w:tcBorders>
          </w:tcPr>
          <w:p/>
        </w:tc>
        <w:tc>
          <w:tcPr>
            <w:tcW w:w="701" w:type="dxa"/>
            <w:vMerge w:val="continue"/>
            <w:tcBorders>
              <w:top w:val="nil"/>
              <w:bottom w:val="nil"/>
            </w:tcBorders>
          </w:tcPr>
          <w:p/>
        </w:tc>
        <w:tc>
          <w:tcPr>
            <w:tcW w:w="950" w:type="dxa"/>
          </w:tcPr>
          <w:p>
            <w:pPr>
              <w:spacing w:line="274" w:lineRule="auto"/>
            </w:pPr>
          </w:p>
          <w:p>
            <w:pPr>
              <w:spacing w:line="274" w:lineRule="auto"/>
            </w:pPr>
          </w:p>
          <w:p>
            <w:pPr>
              <w:spacing w:line="275" w:lineRule="auto"/>
            </w:pPr>
          </w:p>
          <w:p>
            <w:pPr>
              <w:spacing w:line="275" w:lineRule="auto"/>
            </w:pPr>
          </w:p>
          <w:p>
            <w:pPr>
              <w:pStyle w:val="8"/>
              <w:spacing w:before="60" w:line="249" w:lineRule="exact"/>
              <w:ind w:left="29"/>
            </w:pPr>
            <w:r>
              <w:rPr>
                <w:spacing w:val="-3"/>
                <w:position w:val="2"/>
              </w:rPr>
              <w:t>MSI</w:t>
            </w:r>
          </w:p>
        </w:tc>
        <w:tc>
          <w:tcPr>
            <w:tcW w:w="705" w:type="dxa"/>
          </w:tcPr>
          <w:p>
            <w:pPr>
              <w:spacing w:line="281" w:lineRule="auto"/>
            </w:pPr>
          </w:p>
          <w:p>
            <w:pPr>
              <w:spacing w:line="281" w:lineRule="auto"/>
            </w:pPr>
          </w:p>
          <w:p>
            <w:pPr>
              <w:spacing w:line="281" w:lineRule="auto"/>
            </w:pPr>
          </w:p>
          <w:p>
            <w:pPr>
              <w:spacing w:line="282" w:lineRule="auto"/>
            </w:pPr>
          </w:p>
          <w:p>
            <w:pPr>
              <w:pStyle w:val="8"/>
              <w:spacing w:before="60" w:line="187" w:lineRule="auto"/>
              <w:ind w:left="25"/>
            </w:pPr>
            <w:r>
              <w:rPr>
                <w:spacing w:val="2"/>
              </w:rPr>
              <w:t>2.指导免疫治疗</w:t>
            </w:r>
          </w:p>
        </w:tc>
        <w:tc>
          <w:tcPr>
            <w:tcW w:w="4202" w:type="dxa"/>
          </w:tcPr>
          <w:p>
            <w:pPr>
              <w:pStyle w:val="8"/>
              <w:spacing w:before="157" w:line="203" w:lineRule="auto"/>
              <w:ind w:left="18" w:right="26" w:firstLine="14"/>
              <w:rPr>
                <w:lang w:eastAsia="zh-CN"/>
              </w:rPr>
            </w:pPr>
            <w:r>
              <w:rPr>
                <w:spacing w:val="4"/>
                <w:lang w:eastAsia="zh-CN"/>
              </w:rPr>
              <w:t>1.</w:t>
            </w:r>
            <w:r>
              <w:rPr>
                <w:lang w:eastAsia="zh-CN"/>
              </w:rPr>
              <w:t>NMPA</w:t>
            </w:r>
            <w:r>
              <w:rPr>
                <w:spacing w:val="4"/>
                <w:lang w:eastAsia="zh-CN"/>
              </w:rPr>
              <w:t>批准普特利单抗用于既往接受一线及以上系统</w:t>
            </w:r>
            <w:r>
              <w:rPr>
                <w:spacing w:val="3"/>
                <w:lang w:eastAsia="zh-CN"/>
              </w:rPr>
              <w:t>治疗失败的高度微卫星不</w:t>
            </w:r>
            <w:r>
              <w:rPr>
                <w:lang w:eastAsia="zh-CN"/>
              </w:rPr>
              <w:t xml:space="preserve"> </w:t>
            </w:r>
            <w:r>
              <w:rPr>
                <w:spacing w:val="-1"/>
                <w:lang w:eastAsia="zh-CN"/>
              </w:rPr>
              <w:t>稳定型 （MSI-H） 或错配修复缺陷型 （dMMR） 的晚期实体瘤患者的治疗。</w:t>
            </w:r>
          </w:p>
          <w:p>
            <w:pPr>
              <w:pStyle w:val="8"/>
              <w:spacing w:before="6" w:line="206" w:lineRule="auto"/>
              <w:ind w:left="19" w:right="14" w:firstLine="7"/>
              <w:rPr>
                <w:lang w:eastAsia="zh-CN"/>
              </w:rPr>
            </w:pPr>
            <w:r>
              <w:rPr>
                <w:spacing w:val="4"/>
                <w:lang w:eastAsia="zh-CN"/>
              </w:rPr>
              <w:t>2.</w:t>
            </w:r>
            <w:r>
              <w:rPr>
                <w:lang w:eastAsia="zh-CN"/>
              </w:rPr>
              <w:t>NMPA</w:t>
            </w:r>
            <w:r>
              <w:rPr>
                <w:spacing w:val="4"/>
                <w:lang w:eastAsia="zh-CN"/>
              </w:rPr>
              <w:t>批准斯鲁利单抗用于经过标准治疗失败的、不可切除或转移性</w:t>
            </w:r>
            <w:r>
              <w:rPr>
                <w:spacing w:val="3"/>
                <w:lang w:eastAsia="zh-CN"/>
              </w:rPr>
              <w:t>高度微卫</w:t>
            </w:r>
            <w:r>
              <w:rPr>
                <w:lang w:eastAsia="zh-CN"/>
              </w:rPr>
              <w:t xml:space="preserve"> </w:t>
            </w:r>
            <w:r>
              <w:rPr>
                <w:spacing w:val="1"/>
                <w:lang w:eastAsia="zh-CN"/>
              </w:rPr>
              <w:t>星不稳定型 （</w:t>
            </w:r>
            <w:r>
              <w:rPr>
                <w:lang w:eastAsia="zh-CN"/>
              </w:rPr>
              <w:t>MSI</w:t>
            </w:r>
            <w:r>
              <w:rPr>
                <w:spacing w:val="1"/>
                <w:lang w:eastAsia="zh-CN"/>
              </w:rPr>
              <w:t>-H） 实体瘤。3.</w:t>
            </w:r>
            <w:r>
              <w:rPr>
                <w:lang w:eastAsia="zh-CN"/>
              </w:rPr>
              <w:t>NMPA</w:t>
            </w:r>
            <w:r>
              <w:rPr>
                <w:spacing w:val="1"/>
                <w:lang w:eastAsia="zh-CN"/>
              </w:rPr>
              <w:t>批准恩沃利单抗用于不可切除或转移性</w:t>
            </w:r>
            <w:r>
              <w:rPr>
                <w:spacing w:val="17"/>
                <w:w w:val="102"/>
                <w:lang w:eastAsia="zh-CN"/>
              </w:rPr>
              <w:t xml:space="preserve"> </w:t>
            </w:r>
            <w:r>
              <w:rPr>
                <w:spacing w:val="-1"/>
                <w:lang w:eastAsia="zh-CN"/>
              </w:rPr>
              <w:t>微卫星高度不稳定 （MSI-H） 或错配修复基因缺陷型 （dMMR） 的成人晚期实</w:t>
            </w:r>
            <w:r>
              <w:rPr>
                <w:spacing w:val="3"/>
                <w:lang w:eastAsia="zh-CN"/>
              </w:rPr>
              <w:t xml:space="preserve">   体瘤患者的治疗， 包括既往经过氟尿嘧啶类、奥沙利</w:t>
            </w:r>
            <w:r>
              <w:rPr>
                <w:spacing w:val="2"/>
                <w:lang w:eastAsia="zh-CN"/>
              </w:rPr>
              <w:t>铂和伊立替康治疗后出现疾</w:t>
            </w:r>
            <w:r>
              <w:rPr>
                <w:lang w:eastAsia="zh-CN"/>
              </w:rPr>
              <w:t xml:space="preserve"> </w:t>
            </w:r>
            <w:r>
              <w:rPr>
                <w:spacing w:val="4"/>
                <w:lang w:eastAsia="zh-CN"/>
              </w:rPr>
              <w:t>病进展的晚期结直肠癌患者以及既往治疗后出现疾病进展且无满意替代治</w:t>
            </w:r>
            <w:r>
              <w:rPr>
                <w:spacing w:val="3"/>
                <w:lang w:eastAsia="zh-CN"/>
              </w:rPr>
              <w:t>疗方案</w:t>
            </w:r>
            <w:r>
              <w:rPr>
                <w:lang w:eastAsia="zh-CN"/>
              </w:rPr>
              <w:t xml:space="preserve"> </w:t>
            </w:r>
            <w:r>
              <w:rPr>
                <w:spacing w:val="4"/>
                <w:lang w:eastAsia="zh-CN"/>
              </w:rPr>
              <w:t>的其他晚期实体瘤患者。4.</w:t>
            </w:r>
            <w:r>
              <w:rPr>
                <w:lang w:eastAsia="zh-CN"/>
              </w:rPr>
              <w:t>NMPA</w:t>
            </w:r>
            <w:r>
              <w:rPr>
                <w:spacing w:val="4"/>
                <w:lang w:eastAsia="zh-CN"/>
              </w:rPr>
              <w:t>批准替雷丽珠单抗用于不可切除或转移性微卫</w:t>
            </w:r>
            <w:r>
              <w:rPr>
                <w:spacing w:val="3"/>
                <w:lang w:eastAsia="zh-CN"/>
              </w:rPr>
              <w:t xml:space="preserve"> </w:t>
            </w:r>
            <w:r>
              <w:rPr>
                <w:spacing w:val="4"/>
                <w:lang w:eastAsia="zh-CN"/>
              </w:rPr>
              <w:t>星高度不稳定型(</w:t>
            </w:r>
            <w:r>
              <w:rPr>
                <w:lang w:eastAsia="zh-CN"/>
              </w:rPr>
              <w:t>MSI</w:t>
            </w:r>
            <w:r>
              <w:rPr>
                <w:spacing w:val="4"/>
                <w:lang w:eastAsia="zh-CN"/>
              </w:rPr>
              <w:t>-H) 或错配修复基因缺陷型(</w:t>
            </w:r>
            <w:r>
              <w:rPr>
                <w:lang w:eastAsia="zh-CN"/>
              </w:rPr>
              <w:t>dMMR</w:t>
            </w:r>
            <w:r>
              <w:rPr>
                <w:spacing w:val="4"/>
                <w:lang w:eastAsia="zh-CN"/>
              </w:rPr>
              <w:t>)的成人晚</w:t>
            </w:r>
            <w:r>
              <w:rPr>
                <w:spacing w:val="3"/>
                <w:lang w:eastAsia="zh-CN"/>
              </w:rPr>
              <w:t>期实体瘤。</w:t>
            </w:r>
          </w:p>
          <w:p>
            <w:pPr>
              <w:pStyle w:val="8"/>
              <w:spacing w:before="6" w:line="203" w:lineRule="auto"/>
              <w:ind w:left="41" w:right="472" w:hanging="11"/>
              <w:rPr>
                <w:lang w:eastAsia="zh-CN"/>
              </w:rPr>
            </w:pPr>
            <w:r>
              <w:rPr>
                <w:spacing w:val="4"/>
                <w:lang w:eastAsia="zh-CN"/>
              </w:rPr>
              <w:t>5.</w:t>
            </w:r>
            <w:r>
              <w:rPr>
                <w:lang w:eastAsia="zh-CN"/>
              </w:rPr>
              <w:t>FDA</w:t>
            </w:r>
            <w:r>
              <w:rPr>
                <w:spacing w:val="4"/>
                <w:lang w:eastAsia="zh-CN"/>
              </w:rPr>
              <w:t>加速批准帕博利珠单抗用于无法切除或转</w:t>
            </w:r>
            <w:r>
              <w:rPr>
                <w:spacing w:val="3"/>
                <w:lang w:eastAsia="zh-CN"/>
              </w:rPr>
              <w:t>移性的高微卫星不稳定性</w:t>
            </w:r>
            <w:r>
              <w:rPr>
                <w:lang w:eastAsia="zh-CN"/>
              </w:rPr>
              <w:t xml:space="preserve"> </w:t>
            </w:r>
            <w:r>
              <w:rPr>
                <w:spacing w:val="-1"/>
                <w:lang w:eastAsia="zh-CN"/>
              </w:rPr>
              <w:t>（MSI-H） 或错配修复缺陷 （dMMR） 的成人和儿童实体</w:t>
            </w:r>
            <w:r>
              <w:rPr>
                <w:spacing w:val="-2"/>
                <w:lang w:eastAsia="zh-CN"/>
              </w:rPr>
              <w:t>瘤患者</w:t>
            </w:r>
          </w:p>
        </w:tc>
        <w:tc>
          <w:tcPr>
            <w:tcW w:w="2410" w:type="dxa"/>
          </w:tcPr>
          <w:p>
            <w:pPr>
              <w:spacing w:line="255" w:lineRule="auto"/>
              <w:rPr>
                <w:lang w:eastAsia="zh-CN"/>
              </w:rPr>
            </w:pPr>
          </w:p>
          <w:p>
            <w:pPr>
              <w:spacing w:line="256" w:lineRule="auto"/>
              <w:rPr>
                <w:lang w:eastAsia="zh-CN"/>
              </w:rPr>
            </w:pPr>
          </w:p>
          <w:p>
            <w:pPr>
              <w:spacing w:line="256" w:lineRule="auto"/>
              <w:rPr>
                <w:lang w:eastAsia="zh-CN"/>
              </w:rPr>
            </w:pPr>
          </w:p>
          <w:p>
            <w:pPr>
              <w:spacing w:line="256" w:lineRule="auto"/>
              <w:rPr>
                <w:lang w:eastAsia="zh-CN"/>
              </w:rPr>
            </w:pPr>
          </w:p>
          <w:p>
            <w:pPr>
              <w:pStyle w:val="8"/>
              <w:spacing w:before="60" w:line="204" w:lineRule="auto"/>
              <w:ind w:left="23" w:right="108" w:firstLine="1"/>
              <w:rPr>
                <w:lang w:eastAsia="zh-CN"/>
              </w:rPr>
            </w:pPr>
            <w:r>
              <w:rPr>
                <w:spacing w:val="3"/>
                <w:lang w:eastAsia="zh-CN"/>
              </w:rPr>
              <w:t>上皮性卵巢癌、输卵管癌或原发性腹膜</w:t>
            </w:r>
            <w:r>
              <w:rPr>
                <w:spacing w:val="12"/>
                <w:lang w:eastAsia="zh-CN"/>
              </w:rPr>
              <w:t xml:space="preserve"> </w:t>
            </w:r>
            <w:r>
              <w:rPr>
                <w:spacing w:val="1"/>
                <w:lang w:eastAsia="zh-CN"/>
              </w:rPr>
              <w:t>癌</w:t>
            </w:r>
          </w:p>
        </w:tc>
        <w:tc>
          <w:tcPr>
            <w:tcW w:w="2126" w:type="dxa"/>
          </w:tcPr>
          <w:p>
            <w:pPr>
              <w:spacing w:line="249" w:lineRule="auto"/>
              <w:rPr>
                <w:lang w:eastAsia="zh-CN"/>
              </w:rPr>
            </w:pPr>
          </w:p>
          <w:p>
            <w:pPr>
              <w:spacing w:line="249" w:lineRule="auto"/>
              <w:rPr>
                <w:lang w:eastAsia="zh-CN"/>
              </w:rPr>
            </w:pPr>
          </w:p>
          <w:p>
            <w:pPr>
              <w:spacing w:line="249" w:lineRule="auto"/>
              <w:rPr>
                <w:lang w:eastAsia="zh-CN"/>
              </w:rPr>
            </w:pPr>
          </w:p>
          <w:p>
            <w:pPr>
              <w:spacing w:line="249" w:lineRule="auto"/>
              <w:rPr>
                <w:lang w:eastAsia="zh-CN"/>
              </w:rPr>
            </w:pPr>
          </w:p>
          <w:p>
            <w:pPr>
              <w:pStyle w:val="8"/>
              <w:spacing w:before="60" w:line="216" w:lineRule="auto"/>
              <w:ind w:left="25" w:right="141" w:firstLine="11"/>
              <w:rPr>
                <w:lang w:eastAsia="zh-CN"/>
              </w:rPr>
            </w:pPr>
            <w:r>
              <w:rPr>
                <w:lang w:eastAsia="zh-CN"/>
              </w:rPr>
              <w:t>NCCN</w:t>
            </w:r>
            <w:r>
              <w:rPr>
                <w:spacing w:val="3"/>
                <w:lang w:eastAsia="zh-CN"/>
              </w:rPr>
              <w:t>指南卵巢癌/输卵管癌/原发性腹膜</w:t>
            </w:r>
            <w:r>
              <w:rPr>
                <w:spacing w:val="7"/>
                <w:lang w:eastAsia="zh-CN"/>
              </w:rPr>
              <w:t xml:space="preserve"> </w:t>
            </w:r>
            <w:r>
              <w:rPr>
                <w:spacing w:val="-2"/>
                <w:lang w:eastAsia="zh-CN"/>
              </w:rPr>
              <w:t>癌 （2024.V1）</w:t>
            </w:r>
          </w:p>
        </w:tc>
        <w:tc>
          <w:tcPr>
            <w:tcW w:w="1116" w:type="dxa"/>
          </w:tcPr>
          <w:p>
            <w:pPr>
              <w:pStyle w:val="8"/>
              <w:spacing w:before="23" w:line="177" w:lineRule="auto"/>
              <w:ind w:left="21" w:right="391" w:firstLine="9"/>
            </w:pPr>
            <w:r>
              <w:rPr>
                <w:rFonts w:hint="eastAsia"/>
                <w:lang w:eastAsia="zh-CN"/>
              </w:rPr>
              <w:t>否</w:t>
            </w:r>
          </w:p>
        </w:tc>
        <w:tc>
          <w:tcPr>
            <w:tcW w:w="1436" w:type="dxa"/>
          </w:tcPr>
          <w:p>
            <w:pPr>
              <w:pStyle w:val="8"/>
              <w:spacing w:before="23" w:line="177" w:lineRule="auto"/>
              <w:ind w:left="21" w:right="391" w:firstLine="9"/>
            </w:pPr>
            <w:r>
              <w:rPr>
                <w:rFonts w:hint="eastAsia"/>
                <w:lang w:eastAsia="zh-CN"/>
              </w:rPr>
              <w:t>是，福建省肿瘤医院</w:t>
            </w:r>
          </w:p>
        </w:tc>
        <w:tc>
          <w:tcPr>
            <w:tcW w:w="988" w:type="dxa"/>
          </w:tcPr>
          <w:p>
            <w:pPr>
              <w:pStyle w:val="8"/>
              <w:spacing w:before="218" w:line="160" w:lineRule="exact"/>
              <w:ind w:left="30"/>
              <w:rPr>
                <w:lang w:eastAsia="zh-CN"/>
              </w:rPr>
            </w:pPr>
            <w:r>
              <w:rPr>
                <w:rFonts w:hint="eastAsia"/>
                <w:lang w:eastAsia="zh-CN"/>
              </w:rPr>
              <w:t>1</w:t>
            </w:r>
            <w:r>
              <w:rPr>
                <w:rFonts w:hint="eastAsia"/>
                <w:lang w:val="en-US" w:eastAsia="zh-CN"/>
              </w:rPr>
              <w:t>5</w:t>
            </w:r>
            <w:r>
              <w:rPr>
                <w:rFonts w:hint="eastAsia"/>
                <w:lang w:eastAsia="zh-CN"/>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trPr>
        <w:tc>
          <w:tcPr>
            <w:tcW w:w="378" w:type="dxa"/>
            <w:vMerge w:val="continue"/>
            <w:tcBorders>
              <w:top w:val="nil"/>
              <w:bottom w:val="nil"/>
            </w:tcBorders>
          </w:tcPr>
          <w:p/>
        </w:tc>
        <w:tc>
          <w:tcPr>
            <w:tcW w:w="701" w:type="dxa"/>
            <w:vMerge w:val="continue"/>
            <w:tcBorders>
              <w:top w:val="nil"/>
              <w:bottom w:val="nil"/>
            </w:tcBorders>
          </w:tcPr>
          <w:p/>
        </w:tc>
        <w:tc>
          <w:tcPr>
            <w:tcW w:w="950" w:type="dxa"/>
          </w:tcPr>
          <w:p>
            <w:pPr>
              <w:pStyle w:val="8"/>
              <w:spacing w:before="100" w:line="226" w:lineRule="auto"/>
              <w:ind w:left="29"/>
            </w:pPr>
            <w:r>
              <w:t>ERBB</w:t>
            </w:r>
            <w:r>
              <w:rPr>
                <w:spacing w:val="2"/>
              </w:rPr>
              <w:t>2(</w:t>
            </w:r>
            <w:r>
              <w:t>HER</w:t>
            </w:r>
            <w:r>
              <w:rPr>
                <w:spacing w:val="2"/>
              </w:rPr>
              <w:t>2)</w:t>
            </w:r>
          </w:p>
        </w:tc>
        <w:tc>
          <w:tcPr>
            <w:tcW w:w="705" w:type="dxa"/>
          </w:tcPr>
          <w:p>
            <w:pPr>
              <w:pStyle w:val="8"/>
              <w:spacing w:before="127" w:line="187" w:lineRule="auto"/>
              <w:ind w:left="32"/>
            </w:pPr>
            <w:r>
              <w:rPr>
                <w:spacing w:val="1"/>
              </w:rPr>
              <w:t>1.指导靶向治疗</w:t>
            </w:r>
          </w:p>
        </w:tc>
        <w:tc>
          <w:tcPr>
            <w:tcW w:w="4202" w:type="dxa"/>
          </w:tcPr>
          <w:p>
            <w:pPr>
              <w:pStyle w:val="8"/>
              <w:spacing w:before="3" w:line="187" w:lineRule="auto"/>
              <w:ind w:left="28" w:right="78" w:firstLine="4"/>
              <w:rPr>
                <w:lang w:eastAsia="zh-CN"/>
              </w:rPr>
            </w:pPr>
            <w:r>
              <w:rPr>
                <w:lang w:eastAsia="zh-CN"/>
              </w:rPr>
              <w:t>FDA</w:t>
            </w:r>
            <w:r>
              <w:rPr>
                <w:spacing w:val="2"/>
                <w:lang w:eastAsia="zh-CN"/>
              </w:rPr>
              <w:t>加速批准德曲妥珠单抗用于治疗不可切除或转移性的</w:t>
            </w:r>
            <w:r>
              <w:rPr>
                <w:lang w:eastAsia="zh-CN"/>
              </w:rPr>
              <w:t>HER</w:t>
            </w:r>
            <w:r>
              <w:rPr>
                <w:spacing w:val="2"/>
                <w:lang w:eastAsia="zh-CN"/>
              </w:rPr>
              <w:t>2阳性 （免疫组化</w:t>
            </w:r>
            <w:r>
              <w:rPr>
                <w:spacing w:val="16"/>
                <w:lang w:eastAsia="zh-CN"/>
              </w:rPr>
              <w:t xml:space="preserve"> </w:t>
            </w:r>
            <w:r>
              <w:rPr>
                <w:spacing w:val="-5"/>
                <w:lang w:eastAsia="zh-CN"/>
              </w:rPr>
              <w:t>3+） 实体瘤</w:t>
            </w:r>
          </w:p>
        </w:tc>
        <w:tc>
          <w:tcPr>
            <w:tcW w:w="2410" w:type="dxa"/>
          </w:tcPr>
          <w:p>
            <w:pPr>
              <w:pStyle w:val="8"/>
              <w:spacing w:before="31" w:line="173" w:lineRule="auto"/>
              <w:ind w:left="23" w:right="108" w:firstLine="1"/>
              <w:rPr>
                <w:lang w:eastAsia="zh-CN"/>
              </w:rPr>
            </w:pPr>
            <w:r>
              <w:rPr>
                <w:spacing w:val="3"/>
                <w:lang w:eastAsia="zh-CN"/>
              </w:rPr>
              <w:t>上皮性卵巢癌、输卵管癌或原发性腹膜</w:t>
            </w:r>
            <w:r>
              <w:rPr>
                <w:spacing w:val="12"/>
                <w:lang w:eastAsia="zh-CN"/>
              </w:rPr>
              <w:t xml:space="preserve"> </w:t>
            </w:r>
            <w:r>
              <w:rPr>
                <w:spacing w:val="1"/>
                <w:lang w:eastAsia="zh-CN"/>
              </w:rPr>
              <w:t>癌</w:t>
            </w:r>
          </w:p>
        </w:tc>
        <w:tc>
          <w:tcPr>
            <w:tcW w:w="2126" w:type="dxa"/>
          </w:tcPr>
          <w:p>
            <w:pPr>
              <w:pStyle w:val="8"/>
              <w:spacing w:before="3" w:line="187" w:lineRule="auto"/>
              <w:ind w:left="25" w:right="141" w:firstLine="11"/>
              <w:rPr>
                <w:lang w:eastAsia="zh-CN"/>
              </w:rPr>
            </w:pPr>
            <w:r>
              <w:rPr>
                <w:lang w:eastAsia="zh-CN"/>
              </w:rPr>
              <w:t>NCCN</w:t>
            </w:r>
            <w:r>
              <w:rPr>
                <w:spacing w:val="3"/>
                <w:lang w:eastAsia="zh-CN"/>
              </w:rPr>
              <w:t>指南卵巢癌/输卵管癌/原发性腹膜</w:t>
            </w:r>
            <w:r>
              <w:rPr>
                <w:spacing w:val="7"/>
                <w:lang w:eastAsia="zh-CN"/>
              </w:rPr>
              <w:t xml:space="preserve"> </w:t>
            </w:r>
            <w:r>
              <w:rPr>
                <w:spacing w:val="-2"/>
                <w:lang w:eastAsia="zh-CN"/>
              </w:rPr>
              <w:t>癌 （2024.V1）</w:t>
            </w:r>
          </w:p>
        </w:tc>
        <w:tc>
          <w:tcPr>
            <w:tcW w:w="1116" w:type="dxa"/>
          </w:tcPr>
          <w:p>
            <w:pPr>
              <w:pStyle w:val="8"/>
              <w:spacing w:before="23" w:line="177" w:lineRule="auto"/>
              <w:ind w:left="21" w:right="391" w:firstLine="9"/>
            </w:pPr>
            <w:r>
              <w:rPr>
                <w:rFonts w:hint="eastAsia"/>
                <w:lang w:eastAsia="zh-CN"/>
              </w:rPr>
              <w:t>是</w:t>
            </w:r>
          </w:p>
        </w:tc>
        <w:tc>
          <w:tcPr>
            <w:tcW w:w="1436" w:type="dxa"/>
          </w:tcPr>
          <w:p>
            <w:pPr>
              <w:pStyle w:val="8"/>
              <w:spacing w:before="23" w:line="177" w:lineRule="auto"/>
              <w:ind w:right="391"/>
              <w:rPr>
                <w:lang w:eastAsia="zh-CN"/>
              </w:rPr>
            </w:pPr>
          </w:p>
        </w:tc>
        <w:tc>
          <w:tcPr>
            <w:tcW w:w="988" w:type="dxa"/>
            <w:vAlign w:val="top"/>
          </w:tcPr>
          <w:p>
            <w:pPr>
              <w:pStyle w:val="8"/>
              <w:spacing w:before="218" w:line="160" w:lineRule="exact"/>
              <w:ind w:left="30" w:leftChars="0"/>
              <w:rPr>
                <w:lang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 w:hRule="atLeast"/>
        </w:trPr>
        <w:tc>
          <w:tcPr>
            <w:tcW w:w="378" w:type="dxa"/>
            <w:vMerge w:val="continue"/>
            <w:tcBorders>
              <w:top w:val="nil"/>
              <w:bottom w:val="nil"/>
            </w:tcBorders>
          </w:tcPr>
          <w:p>
            <w:pPr>
              <w:rPr>
                <w:lang w:eastAsia="zh-CN"/>
              </w:rPr>
            </w:pPr>
          </w:p>
        </w:tc>
        <w:tc>
          <w:tcPr>
            <w:tcW w:w="701" w:type="dxa"/>
            <w:vMerge w:val="continue"/>
            <w:tcBorders>
              <w:top w:val="nil"/>
              <w:bottom w:val="nil"/>
            </w:tcBorders>
          </w:tcPr>
          <w:p>
            <w:pPr>
              <w:rPr>
                <w:lang w:eastAsia="zh-CN"/>
              </w:rPr>
            </w:pPr>
          </w:p>
        </w:tc>
        <w:tc>
          <w:tcPr>
            <w:tcW w:w="950" w:type="dxa"/>
          </w:tcPr>
          <w:p>
            <w:pPr>
              <w:pStyle w:val="8"/>
              <w:spacing w:before="139" w:line="175" w:lineRule="auto"/>
              <w:ind w:left="29"/>
            </w:pPr>
            <w:r>
              <w:rPr>
                <w:spacing w:val="-2"/>
              </w:rPr>
              <w:t>NTRK</w:t>
            </w:r>
          </w:p>
        </w:tc>
        <w:tc>
          <w:tcPr>
            <w:tcW w:w="705" w:type="dxa"/>
          </w:tcPr>
          <w:p>
            <w:pPr>
              <w:pStyle w:val="8"/>
              <w:spacing w:before="127" w:line="187" w:lineRule="auto"/>
              <w:ind w:left="32"/>
            </w:pPr>
            <w:r>
              <w:rPr>
                <w:spacing w:val="1"/>
              </w:rPr>
              <w:t>1.指导靶向治疗</w:t>
            </w:r>
          </w:p>
        </w:tc>
        <w:tc>
          <w:tcPr>
            <w:tcW w:w="4202" w:type="dxa"/>
          </w:tcPr>
          <w:p>
            <w:pPr>
              <w:pStyle w:val="8"/>
              <w:spacing w:before="31" w:line="173" w:lineRule="auto"/>
              <w:ind w:left="21" w:right="119" w:firstLine="10"/>
              <w:rPr>
                <w:lang w:eastAsia="zh-CN"/>
              </w:rPr>
            </w:pPr>
            <w:r>
              <w:rPr>
                <w:lang w:eastAsia="zh-CN"/>
              </w:rPr>
              <w:t>NMPA</w:t>
            </w:r>
            <w:r>
              <w:rPr>
                <w:spacing w:val="2"/>
                <w:lang w:eastAsia="zh-CN"/>
              </w:rPr>
              <w:t>批准恩曲替尼用于12岁及以上， 经充分验证的检测方法诊断为携带神经</w:t>
            </w:r>
            <w:r>
              <w:rPr>
                <w:spacing w:val="12"/>
                <w:w w:val="102"/>
                <w:lang w:eastAsia="zh-CN"/>
              </w:rPr>
              <w:t xml:space="preserve"> </w:t>
            </w:r>
            <w:r>
              <w:rPr>
                <w:spacing w:val="4"/>
                <w:lang w:eastAsia="zh-CN"/>
              </w:rPr>
              <w:t>营养酪氨酸受体激酶(</w:t>
            </w:r>
            <w:r>
              <w:rPr>
                <w:lang w:eastAsia="zh-CN"/>
              </w:rPr>
              <w:t>NTRK</w:t>
            </w:r>
            <w:r>
              <w:rPr>
                <w:spacing w:val="4"/>
                <w:lang w:eastAsia="zh-CN"/>
              </w:rPr>
              <w:t>)融合基因且不包括已知获得性耐药突变的</w:t>
            </w:r>
            <w:r>
              <w:rPr>
                <w:spacing w:val="3"/>
                <w:lang w:eastAsia="zh-CN"/>
              </w:rPr>
              <w:t>实体瘤</w:t>
            </w:r>
          </w:p>
        </w:tc>
        <w:tc>
          <w:tcPr>
            <w:tcW w:w="2410" w:type="dxa"/>
          </w:tcPr>
          <w:p>
            <w:pPr>
              <w:pStyle w:val="8"/>
              <w:spacing w:before="31" w:line="173" w:lineRule="auto"/>
              <w:ind w:left="23" w:right="108" w:firstLine="1"/>
              <w:rPr>
                <w:lang w:eastAsia="zh-CN"/>
              </w:rPr>
            </w:pPr>
            <w:r>
              <w:rPr>
                <w:spacing w:val="3"/>
                <w:lang w:eastAsia="zh-CN"/>
              </w:rPr>
              <w:t>上皮性卵巢癌、输卵管癌或原发性腹膜</w:t>
            </w:r>
            <w:r>
              <w:rPr>
                <w:spacing w:val="12"/>
                <w:lang w:eastAsia="zh-CN"/>
              </w:rPr>
              <w:t xml:space="preserve"> </w:t>
            </w:r>
            <w:r>
              <w:rPr>
                <w:spacing w:val="1"/>
                <w:lang w:eastAsia="zh-CN"/>
              </w:rPr>
              <w:t>癌</w:t>
            </w:r>
          </w:p>
        </w:tc>
        <w:tc>
          <w:tcPr>
            <w:tcW w:w="2126" w:type="dxa"/>
          </w:tcPr>
          <w:p>
            <w:pPr>
              <w:pStyle w:val="8"/>
              <w:spacing w:before="5" w:line="186" w:lineRule="auto"/>
              <w:ind w:left="25" w:right="141" w:firstLine="11"/>
              <w:rPr>
                <w:lang w:eastAsia="zh-CN"/>
              </w:rPr>
            </w:pPr>
            <w:r>
              <w:rPr>
                <w:lang w:eastAsia="zh-CN"/>
              </w:rPr>
              <w:t>NCCN</w:t>
            </w:r>
            <w:r>
              <w:rPr>
                <w:spacing w:val="3"/>
                <w:lang w:eastAsia="zh-CN"/>
              </w:rPr>
              <w:t>指南卵巢癌/输卵管癌/原发性腹膜</w:t>
            </w:r>
            <w:r>
              <w:rPr>
                <w:spacing w:val="7"/>
                <w:lang w:eastAsia="zh-CN"/>
              </w:rPr>
              <w:t xml:space="preserve"> </w:t>
            </w:r>
            <w:r>
              <w:rPr>
                <w:spacing w:val="-2"/>
                <w:lang w:eastAsia="zh-CN"/>
              </w:rPr>
              <w:t>癌 （2024.V1）</w:t>
            </w:r>
          </w:p>
        </w:tc>
        <w:tc>
          <w:tcPr>
            <w:tcW w:w="1116" w:type="dxa"/>
          </w:tcPr>
          <w:p>
            <w:pPr>
              <w:pStyle w:val="8"/>
              <w:spacing w:before="23" w:line="177" w:lineRule="auto"/>
              <w:ind w:left="21" w:right="391" w:firstLine="9"/>
            </w:pPr>
            <w:r>
              <w:rPr>
                <w:rFonts w:hint="eastAsia"/>
                <w:lang w:eastAsia="zh-CN"/>
              </w:rPr>
              <w:t>否</w:t>
            </w:r>
          </w:p>
        </w:tc>
        <w:tc>
          <w:tcPr>
            <w:tcW w:w="1436" w:type="dxa"/>
          </w:tcPr>
          <w:p>
            <w:pPr>
              <w:pStyle w:val="8"/>
              <w:spacing w:before="23" w:line="177" w:lineRule="auto"/>
              <w:ind w:left="21" w:right="391" w:firstLine="9"/>
            </w:pPr>
            <w:r>
              <w:rPr>
                <w:rFonts w:hint="eastAsia"/>
                <w:lang w:eastAsia="zh-CN"/>
              </w:rPr>
              <w:t>是，福建省肿瘤医院</w:t>
            </w:r>
          </w:p>
        </w:tc>
        <w:tc>
          <w:tcPr>
            <w:tcW w:w="988" w:type="dxa"/>
            <w:vAlign w:val="top"/>
          </w:tcPr>
          <w:p>
            <w:pPr>
              <w:pStyle w:val="8"/>
              <w:spacing w:before="218" w:line="160" w:lineRule="exact"/>
              <w:ind w:left="30" w:leftChars="0"/>
              <w:rPr>
                <w:lang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378" w:type="dxa"/>
            <w:vMerge w:val="continue"/>
            <w:tcBorders>
              <w:top w:val="nil"/>
            </w:tcBorders>
          </w:tcPr>
          <w:p/>
        </w:tc>
        <w:tc>
          <w:tcPr>
            <w:tcW w:w="701" w:type="dxa"/>
            <w:vMerge w:val="continue"/>
            <w:tcBorders>
              <w:top w:val="nil"/>
            </w:tcBorders>
          </w:tcPr>
          <w:p/>
        </w:tc>
        <w:tc>
          <w:tcPr>
            <w:tcW w:w="950" w:type="dxa"/>
          </w:tcPr>
          <w:p>
            <w:pPr>
              <w:pStyle w:val="8"/>
              <w:spacing w:before="140" w:line="175" w:lineRule="auto"/>
              <w:ind w:left="29"/>
            </w:pPr>
            <w:r>
              <w:rPr>
                <w:spacing w:val="-2"/>
              </w:rPr>
              <w:t>BRAF</w:t>
            </w:r>
          </w:p>
        </w:tc>
        <w:tc>
          <w:tcPr>
            <w:tcW w:w="705" w:type="dxa"/>
          </w:tcPr>
          <w:p>
            <w:pPr>
              <w:pStyle w:val="8"/>
              <w:spacing w:before="128" w:line="187" w:lineRule="auto"/>
              <w:ind w:left="32"/>
            </w:pPr>
            <w:r>
              <w:rPr>
                <w:spacing w:val="1"/>
              </w:rPr>
              <w:t>1.指导靶向治疗</w:t>
            </w:r>
          </w:p>
        </w:tc>
        <w:tc>
          <w:tcPr>
            <w:tcW w:w="4202" w:type="dxa"/>
          </w:tcPr>
          <w:p>
            <w:pPr>
              <w:pStyle w:val="8"/>
              <w:spacing w:before="127" w:line="188" w:lineRule="auto"/>
              <w:ind w:left="32"/>
              <w:rPr>
                <w:lang w:eastAsia="zh-CN"/>
              </w:rPr>
            </w:pPr>
            <w:r>
              <w:rPr>
                <w:lang w:eastAsia="zh-CN"/>
              </w:rPr>
              <w:t>FDA</w:t>
            </w:r>
            <w:r>
              <w:rPr>
                <w:spacing w:val="3"/>
                <w:lang w:eastAsia="zh-CN"/>
              </w:rPr>
              <w:t>批准曲美替尼联合达拉非尼用于治疗</w:t>
            </w:r>
            <w:r>
              <w:rPr>
                <w:lang w:eastAsia="zh-CN"/>
              </w:rPr>
              <w:t>BRAF</w:t>
            </w:r>
            <w:r>
              <w:rPr>
                <w:spacing w:val="25"/>
                <w:lang w:eastAsia="zh-CN"/>
              </w:rPr>
              <w:t xml:space="preserve"> </w:t>
            </w:r>
            <w:r>
              <w:rPr>
                <w:lang w:eastAsia="zh-CN"/>
              </w:rPr>
              <w:t>p</w:t>
            </w:r>
            <w:r>
              <w:rPr>
                <w:spacing w:val="3"/>
                <w:lang w:eastAsia="zh-CN"/>
              </w:rPr>
              <w:t>.V600E突变的实体瘤</w:t>
            </w:r>
          </w:p>
        </w:tc>
        <w:tc>
          <w:tcPr>
            <w:tcW w:w="2410" w:type="dxa"/>
          </w:tcPr>
          <w:p>
            <w:pPr>
              <w:pStyle w:val="8"/>
              <w:spacing w:before="32" w:line="175" w:lineRule="auto"/>
              <w:ind w:left="23" w:right="108" w:firstLine="1"/>
              <w:rPr>
                <w:lang w:eastAsia="zh-CN"/>
              </w:rPr>
            </w:pPr>
            <w:r>
              <w:rPr>
                <w:spacing w:val="3"/>
                <w:lang w:eastAsia="zh-CN"/>
              </w:rPr>
              <w:t>上皮性卵巢癌、输卵管癌或原发性腹膜</w:t>
            </w:r>
            <w:r>
              <w:rPr>
                <w:spacing w:val="12"/>
                <w:lang w:eastAsia="zh-CN"/>
              </w:rPr>
              <w:t xml:space="preserve"> </w:t>
            </w:r>
            <w:r>
              <w:rPr>
                <w:spacing w:val="1"/>
                <w:lang w:eastAsia="zh-CN"/>
              </w:rPr>
              <w:t>癌</w:t>
            </w:r>
          </w:p>
        </w:tc>
        <w:tc>
          <w:tcPr>
            <w:tcW w:w="2126" w:type="dxa"/>
          </w:tcPr>
          <w:p>
            <w:pPr>
              <w:pStyle w:val="8"/>
              <w:spacing w:before="4" w:line="189" w:lineRule="auto"/>
              <w:ind w:left="25" w:right="141" w:firstLine="11"/>
              <w:rPr>
                <w:lang w:eastAsia="zh-CN"/>
              </w:rPr>
            </w:pPr>
            <w:r>
              <w:rPr>
                <w:lang w:eastAsia="zh-CN"/>
              </w:rPr>
              <w:t>NCCN</w:t>
            </w:r>
            <w:r>
              <w:rPr>
                <w:spacing w:val="3"/>
                <w:lang w:eastAsia="zh-CN"/>
              </w:rPr>
              <w:t>指南卵巢癌/输卵管癌/原发性腹膜</w:t>
            </w:r>
            <w:r>
              <w:rPr>
                <w:spacing w:val="7"/>
                <w:lang w:eastAsia="zh-CN"/>
              </w:rPr>
              <w:t xml:space="preserve"> </w:t>
            </w:r>
            <w:r>
              <w:rPr>
                <w:spacing w:val="-2"/>
                <w:lang w:eastAsia="zh-CN"/>
              </w:rPr>
              <w:t>癌 （2024.V1）</w:t>
            </w:r>
          </w:p>
        </w:tc>
        <w:tc>
          <w:tcPr>
            <w:tcW w:w="1116" w:type="dxa"/>
          </w:tcPr>
          <w:p>
            <w:pPr>
              <w:pStyle w:val="8"/>
              <w:spacing w:before="4" w:line="189" w:lineRule="auto"/>
              <w:ind w:left="25" w:right="141" w:firstLine="11"/>
              <w:rPr>
                <w:lang w:eastAsia="zh-CN"/>
              </w:rPr>
            </w:pPr>
            <w:r>
              <w:rPr>
                <w:rFonts w:hint="eastAsia"/>
                <w:lang w:eastAsia="zh-CN"/>
              </w:rPr>
              <w:t>是</w:t>
            </w:r>
          </w:p>
        </w:tc>
        <w:tc>
          <w:tcPr>
            <w:tcW w:w="1436" w:type="dxa"/>
          </w:tcPr>
          <w:p>
            <w:pPr>
              <w:pStyle w:val="8"/>
              <w:spacing w:before="4" w:line="189" w:lineRule="auto"/>
              <w:ind w:left="25" w:right="141" w:firstLine="11"/>
            </w:pPr>
          </w:p>
        </w:tc>
        <w:tc>
          <w:tcPr>
            <w:tcW w:w="988" w:type="dxa"/>
          </w:tcPr>
          <w:p>
            <w:pPr>
              <w:pStyle w:val="8"/>
              <w:spacing w:before="218" w:line="160" w:lineRule="exact"/>
              <w:ind w:left="30"/>
              <w:rPr>
                <w:lang w:eastAsia="zh-CN"/>
              </w:rPr>
            </w:pPr>
            <w:r>
              <w:rPr>
                <w:rFonts w:hint="eastAsia"/>
                <w:lang w:eastAsia="zh-CN"/>
              </w:rPr>
              <w:t>1100</w:t>
            </w:r>
          </w:p>
        </w:tc>
      </w:tr>
    </w:tbl>
    <w:p/>
    <w:p>
      <w:pPr>
        <w:sectPr>
          <w:footerReference r:id="rId8" w:type="default"/>
          <w:pgSz w:w="16837" w:h="11905"/>
          <w:pgMar w:top="400" w:right="531" w:bottom="403" w:left="393" w:header="0" w:footer="238" w:gutter="0"/>
          <w:cols w:space="720" w:num="1"/>
        </w:sectPr>
      </w:pPr>
    </w:p>
    <w:p>
      <w:pPr>
        <w:spacing w:line="48" w:lineRule="exact"/>
      </w:pPr>
    </w:p>
    <w:tbl>
      <w:tblPr>
        <w:tblStyle w:val="7"/>
        <w:tblW w:w="4722"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05"/>
        <w:gridCol w:w="905"/>
        <w:gridCol w:w="1566"/>
        <w:gridCol w:w="1135"/>
        <w:gridCol w:w="997"/>
        <w:gridCol w:w="2424"/>
        <w:gridCol w:w="2704"/>
        <w:gridCol w:w="1283"/>
        <w:gridCol w:w="2083"/>
        <w:gridCol w:w="14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168" w:type="pct"/>
          </w:tcPr>
          <w:p>
            <w:pPr>
              <w:spacing w:before="155" w:line="228" w:lineRule="auto"/>
              <w:ind w:left="192"/>
              <w:rPr>
                <w:rFonts w:ascii="黑体" w:hAnsi="黑体" w:eastAsia="黑体" w:cs="黑体"/>
                <w:sz w:val="14"/>
                <w:szCs w:val="14"/>
              </w:rPr>
            </w:pPr>
            <w:r>
              <w:rPr>
                <w:rFonts w:ascii="黑体" w:hAnsi="黑体" w:eastAsia="黑体" w:cs="黑体"/>
                <w:spacing w:val="1"/>
                <w:sz w:val="14"/>
                <w:szCs w:val="14"/>
              </w:rPr>
              <w:t>序号</w:t>
            </w:r>
          </w:p>
        </w:tc>
        <w:tc>
          <w:tcPr>
            <w:tcW w:w="301" w:type="pct"/>
          </w:tcPr>
          <w:p>
            <w:pPr>
              <w:spacing w:before="155" w:line="226" w:lineRule="auto"/>
              <w:ind w:left="400"/>
              <w:rPr>
                <w:rFonts w:ascii="黑体" w:hAnsi="黑体" w:eastAsia="黑体" w:cs="黑体"/>
                <w:sz w:val="14"/>
                <w:szCs w:val="14"/>
              </w:rPr>
            </w:pPr>
            <w:r>
              <w:rPr>
                <w:rFonts w:ascii="黑体" w:hAnsi="黑体" w:eastAsia="黑体" w:cs="黑体"/>
                <w:spacing w:val="3"/>
                <w:sz w:val="14"/>
                <w:szCs w:val="14"/>
              </w:rPr>
              <w:t>病种名称</w:t>
            </w:r>
          </w:p>
        </w:tc>
        <w:tc>
          <w:tcPr>
            <w:tcW w:w="520" w:type="pct"/>
          </w:tcPr>
          <w:p>
            <w:pPr>
              <w:spacing w:before="154" w:line="228" w:lineRule="auto"/>
              <w:ind w:left="646"/>
              <w:rPr>
                <w:rFonts w:ascii="黑体" w:hAnsi="黑体" w:eastAsia="黑体" w:cs="黑体"/>
                <w:sz w:val="14"/>
                <w:szCs w:val="14"/>
              </w:rPr>
            </w:pPr>
            <w:r>
              <w:rPr>
                <w:rFonts w:ascii="黑体" w:hAnsi="黑体" w:eastAsia="黑体" w:cs="黑体"/>
                <w:spacing w:val="3"/>
                <w:sz w:val="14"/>
                <w:szCs w:val="14"/>
              </w:rPr>
              <w:t>对应检测基因</w:t>
            </w:r>
          </w:p>
        </w:tc>
        <w:tc>
          <w:tcPr>
            <w:tcW w:w="377" w:type="pct"/>
          </w:tcPr>
          <w:p>
            <w:pPr>
              <w:spacing w:before="155" w:line="228" w:lineRule="auto"/>
              <w:ind w:left="359"/>
              <w:rPr>
                <w:rFonts w:ascii="黑体" w:hAnsi="黑体" w:eastAsia="黑体" w:cs="黑体"/>
                <w:sz w:val="14"/>
                <w:szCs w:val="14"/>
              </w:rPr>
            </w:pPr>
            <w:r>
              <w:rPr>
                <w:rFonts w:ascii="黑体" w:hAnsi="黑体" w:eastAsia="黑体" w:cs="黑体"/>
                <w:spacing w:val="3"/>
                <w:sz w:val="14"/>
                <w:szCs w:val="14"/>
              </w:rPr>
              <w:t>检测意义</w:t>
            </w:r>
          </w:p>
        </w:tc>
        <w:tc>
          <w:tcPr>
            <w:tcW w:w="331" w:type="pct"/>
          </w:tcPr>
          <w:p>
            <w:pPr>
              <w:spacing w:before="154" w:line="228" w:lineRule="auto"/>
              <w:jc w:val="both"/>
              <w:rPr>
                <w:rFonts w:ascii="黑体" w:hAnsi="黑体" w:eastAsia="黑体" w:cs="黑体"/>
                <w:sz w:val="14"/>
                <w:szCs w:val="14"/>
              </w:rPr>
            </w:pPr>
            <w:r>
              <w:rPr>
                <w:rFonts w:ascii="黑体" w:hAnsi="黑体" w:eastAsia="黑体" w:cs="黑体"/>
                <w:spacing w:val="3"/>
                <w:sz w:val="14"/>
                <w:szCs w:val="14"/>
              </w:rPr>
              <w:t>指南推荐药物</w:t>
            </w:r>
          </w:p>
        </w:tc>
        <w:tc>
          <w:tcPr>
            <w:tcW w:w="805" w:type="pct"/>
          </w:tcPr>
          <w:p>
            <w:pPr>
              <w:spacing w:before="155" w:line="226" w:lineRule="auto"/>
              <w:ind w:left="798"/>
              <w:jc w:val="both"/>
              <w:rPr>
                <w:rFonts w:ascii="黑体" w:hAnsi="黑体" w:eastAsia="黑体" w:cs="黑体"/>
                <w:sz w:val="14"/>
                <w:szCs w:val="14"/>
              </w:rPr>
            </w:pPr>
            <w:r>
              <w:rPr>
                <w:rFonts w:ascii="黑体" w:hAnsi="黑体" w:eastAsia="黑体" w:cs="黑体"/>
                <w:spacing w:val="3"/>
                <w:sz w:val="14"/>
                <w:szCs w:val="14"/>
              </w:rPr>
              <w:t>基因检测适应症</w:t>
            </w:r>
          </w:p>
        </w:tc>
        <w:tc>
          <w:tcPr>
            <w:tcW w:w="898" w:type="pct"/>
          </w:tcPr>
          <w:p>
            <w:pPr>
              <w:spacing w:before="155" w:line="226" w:lineRule="auto"/>
              <w:ind w:left="729"/>
              <w:rPr>
                <w:rFonts w:ascii="黑体" w:hAnsi="黑体" w:eastAsia="黑体" w:cs="黑体"/>
                <w:sz w:val="14"/>
                <w:szCs w:val="14"/>
              </w:rPr>
            </w:pPr>
            <w:r>
              <w:rPr>
                <w:rFonts w:ascii="黑体" w:hAnsi="黑体" w:eastAsia="黑体" w:cs="黑体"/>
                <w:spacing w:val="3"/>
                <w:sz w:val="14"/>
                <w:szCs w:val="14"/>
              </w:rPr>
              <w:t>诊疗规范或指南依据</w:t>
            </w:r>
          </w:p>
        </w:tc>
        <w:tc>
          <w:tcPr>
            <w:tcW w:w="426" w:type="pct"/>
            <w:vAlign w:val="center"/>
          </w:tcPr>
          <w:p>
            <w:pPr>
              <w:spacing w:before="155" w:line="180" w:lineRule="exact"/>
              <w:jc w:val="both"/>
              <w:rPr>
                <w:rFonts w:ascii="黑体" w:hAnsi="黑体" w:eastAsia="黑体" w:cs="黑体"/>
                <w:b/>
                <w:bCs/>
                <w:spacing w:val="1"/>
                <w:sz w:val="14"/>
                <w:szCs w:val="14"/>
              </w:rPr>
            </w:pPr>
            <w:r>
              <w:rPr>
                <w:rFonts w:hint="eastAsia" w:ascii="黑体" w:hAnsi="黑体" w:eastAsia="黑体" w:cs="黑体"/>
                <w:b/>
                <w:bCs/>
                <w:spacing w:val="1"/>
                <w:sz w:val="14"/>
                <w:szCs w:val="14"/>
                <w:lang w:eastAsia="zh-CN"/>
              </w:rPr>
              <w:t>是否本机构开展</w:t>
            </w:r>
          </w:p>
        </w:tc>
        <w:tc>
          <w:tcPr>
            <w:tcW w:w="692" w:type="pct"/>
            <w:vAlign w:val="center"/>
          </w:tcPr>
          <w:p>
            <w:pPr>
              <w:spacing w:before="155" w:line="180" w:lineRule="exact"/>
              <w:jc w:val="both"/>
              <w:rPr>
                <w:rFonts w:ascii="黑体" w:hAnsi="黑体" w:eastAsia="黑体" w:cs="黑体"/>
                <w:b/>
                <w:bCs/>
                <w:spacing w:val="1"/>
                <w:sz w:val="14"/>
                <w:szCs w:val="14"/>
                <w:lang w:eastAsia="zh-CN"/>
              </w:rPr>
            </w:pPr>
            <w:r>
              <w:rPr>
                <w:rFonts w:hint="eastAsia" w:ascii="黑体" w:hAnsi="黑体" w:eastAsia="黑体" w:cs="黑体"/>
                <w:b/>
                <w:bCs/>
                <w:spacing w:val="1"/>
                <w:sz w:val="14"/>
                <w:szCs w:val="14"/>
                <w:lang w:eastAsia="zh-CN"/>
              </w:rPr>
              <w:t>是否外送，外送机构</w:t>
            </w:r>
          </w:p>
        </w:tc>
        <w:tc>
          <w:tcPr>
            <w:tcW w:w="477" w:type="pct"/>
            <w:vAlign w:val="center"/>
          </w:tcPr>
          <w:p>
            <w:pPr>
              <w:spacing w:before="155" w:line="180" w:lineRule="exact"/>
              <w:ind w:left="192"/>
              <w:jc w:val="center"/>
              <w:rPr>
                <w:rFonts w:ascii="黑体" w:hAnsi="黑体" w:eastAsia="黑体" w:cs="黑体"/>
                <w:b/>
                <w:bCs/>
                <w:spacing w:val="1"/>
                <w:sz w:val="14"/>
                <w:szCs w:val="14"/>
                <w:lang w:eastAsia="zh-CN"/>
              </w:rPr>
            </w:pPr>
            <w:r>
              <w:rPr>
                <w:rFonts w:hint="eastAsia" w:ascii="黑体" w:hAnsi="黑体" w:eastAsia="黑体" w:cs="黑体"/>
                <w:b/>
                <w:bCs/>
                <w:spacing w:val="1"/>
                <w:sz w:val="14"/>
                <w:szCs w:val="14"/>
                <w:lang w:eastAsia="zh-CN"/>
              </w:rPr>
              <w:t>价格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74" w:hRule="atLeast"/>
        </w:trPr>
        <w:tc>
          <w:tcPr>
            <w:tcW w:w="168" w:type="pct"/>
            <w:tcBorders>
              <w:bottom w:val="nil"/>
            </w:tcBorders>
          </w:tcPr>
          <w:p>
            <w:pPr>
              <w:spacing w:line="253" w:lineRule="auto"/>
            </w:pPr>
          </w:p>
          <w:p>
            <w:pPr>
              <w:spacing w:line="253"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pStyle w:val="8"/>
              <w:spacing w:before="60" w:line="177" w:lineRule="auto"/>
              <w:ind w:left="36"/>
            </w:pPr>
            <w:r>
              <w:rPr>
                <w:spacing w:val="-5"/>
              </w:rPr>
              <w:t>17</w:t>
            </w:r>
          </w:p>
        </w:tc>
        <w:tc>
          <w:tcPr>
            <w:tcW w:w="301" w:type="pct"/>
            <w:tcBorders>
              <w:bottom w:val="nil"/>
            </w:tcBorders>
          </w:tcPr>
          <w:p>
            <w:pPr>
              <w:spacing w:line="252" w:lineRule="auto"/>
            </w:pPr>
          </w:p>
          <w:p>
            <w:pPr>
              <w:spacing w:line="252" w:lineRule="auto"/>
            </w:pPr>
          </w:p>
          <w:p>
            <w:pPr>
              <w:spacing w:line="253" w:lineRule="auto"/>
            </w:pPr>
          </w:p>
          <w:p>
            <w:pPr>
              <w:spacing w:line="253" w:lineRule="auto"/>
            </w:pPr>
          </w:p>
          <w:p>
            <w:pPr>
              <w:spacing w:line="253" w:lineRule="auto"/>
            </w:pPr>
          </w:p>
          <w:p>
            <w:pPr>
              <w:spacing w:line="253" w:lineRule="auto"/>
            </w:pPr>
          </w:p>
          <w:p>
            <w:pPr>
              <w:spacing w:line="253" w:lineRule="auto"/>
            </w:pPr>
          </w:p>
          <w:p>
            <w:pPr>
              <w:spacing w:line="253" w:lineRule="auto"/>
            </w:pPr>
          </w:p>
          <w:p>
            <w:pPr>
              <w:spacing w:line="253" w:lineRule="auto"/>
            </w:pPr>
          </w:p>
          <w:p>
            <w:pPr>
              <w:pStyle w:val="8"/>
              <w:spacing w:before="60" w:line="187" w:lineRule="auto"/>
              <w:ind w:left="18"/>
            </w:pPr>
            <w:r>
              <w:rPr>
                <w:spacing w:val="3"/>
              </w:rPr>
              <w:t>前列腺癌</w:t>
            </w:r>
          </w:p>
        </w:tc>
        <w:tc>
          <w:tcPr>
            <w:tcW w:w="520" w:type="pct"/>
          </w:tcPr>
          <w:p>
            <w:pPr>
              <w:pStyle w:val="8"/>
              <w:spacing w:before="239" w:line="232" w:lineRule="auto"/>
              <w:ind w:left="29"/>
            </w:pPr>
            <w:r>
              <w:t>BRCA</w:t>
            </w:r>
            <w:r>
              <w:rPr>
                <w:spacing w:val="1"/>
              </w:rPr>
              <w:t>1/2</w:t>
            </w:r>
          </w:p>
        </w:tc>
        <w:tc>
          <w:tcPr>
            <w:tcW w:w="377" w:type="pct"/>
          </w:tcPr>
          <w:p>
            <w:pPr>
              <w:pStyle w:val="8"/>
              <w:spacing w:before="265" w:line="187" w:lineRule="auto"/>
              <w:ind w:left="32"/>
            </w:pPr>
            <w:r>
              <w:rPr>
                <w:spacing w:val="1"/>
              </w:rPr>
              <w:t>1.指导靶向治疗</w:t>
            </w:r>
          </w:p>
        </w:tc>
        <w:tc>
          <w:tcPr>
            <w:tcW w:w="331" w:type="pct"/>
          </w:tcPr>
          <w:p>
            <w:pPr>
              <w:pStyle w:val="8"/>
              <w:spacing w:before="264" w:line="188" w:lineRule="auto"/>
              <w:ind w:left="32"/>
            </w:pPr>
            <w:r>
              <w:t>PAPR</w:t>
            </w:r>
            <w:r>
              <w:rPr>
                <w:spacing w:val="2"/>
              </w:rPr>
              <w:t>抑制剂</w:t>
            </w:r>
          </w:p>
        </w:tc>
        <w:tc>
          <w:tcPr>
            <w:tcW w:w="805" w:type="pct"/>
          </w:tcPr>
          <w:p>
            <w:pPr>
              <w:pStyle w:val="8"/>
              <w:spacing w:before="136" w:line="211" w:lineRule="auto"/>
              <w:ind w:left="22" w:right="48"/>
              <w:rPr>
                <w:lang w:eastAsia="zh-CN"/>
              </w:rPr>
            </w:pPr>
            <w:r>
              <w:rPr>
                <w:spacing w:val="3"/>
                <w:lang w:eastAsia="zh-CN"/>
              </w:rPr>
              <w:t>遗传咨询/转移性去势抵抗性前列腺癌患</w:t>
            </w:r>
            <w:r>
              <w:rPr>
                <w:spacing w:val="11"/>
                <w:w w:val="101"/>
                <w:lang w:eastAsia="zh-CN"/>
              </w:rPr>
              <w:t xml:space="preserve"> </w:t>
            </w:r>
            <w:r>
              <w:rPr>
                <w:spacing w:val="3"/>
                <w:lang w:eastAsia="zh-CN"/>
              </w:rPr>
              <w:t>者制定治疗决策</w:t>
            </w:r>
          </w:p>
        </w:tc>
        <w:tc>
          <w:tcPr>
            <w:tcW w:w="898" w:type="pct"/>
          </w:tcPr>
          <w:p>
            <w:pPr>
              <w:pStyle w:val="8"/>
              <w:spacing w:before="57" w:line="204" w:lineRule="auto"/>
              <w:ind w:left="31" w:right="184" w:firstLine="2"/>
              <w:jc w:val="both"/>
              <w:rPr>
                <w:lang w:eastAsia="zh-CN"/>
              </w:rPr>
            </w:pPr>
            <w:r>
              <w:rPr>
                <w:spacing w:val="3"/>
                <w:lang w:eastAsia="zh-CN"/>
              </w:rPr>
              <w:t>国家卫生健康委员会前列腺癌诊疗指南</w:t>
            </w:r>
            <w:r>
              <w:rPr>
                <w:spacing w:val="1"/>
                <w:lang w:eastAsia="zh-CN"/>
              </w:rPr>
              <w:t xml:space="preserve">   </w:t>
            </w:r>
            <w:r>
              <w:rPr>
                <w:lang w:eastAsia="zh-CN"/>
              </w:rPr>
              <w:t>（</w:t>
            </w:r>
            <w:r>
              <w:rPr>
                <w:spacing w:val="-21"/>
                <w:lang w:eastAsia="zh-CN"/>
              </w:rPr>
              <w:t xml:space="preserve"> </w:t>
            </w:r>
            <w:r>
              <w:rPr>
                <w:lang w:eastAsia="zh-CN"/>
              </w:rPr>
              <w:t>2022年版） /CSCO前列腺癌诊疗指南 2023/NCCN指南前列腺癌 （2024.V4）</w:t>
            </w:r>
          </w:p>
        </w:tc>
        <w:tc>
          <w:tcPr>
            <w:tcW w:w="426" w:type="pct"/>
          </w:tcPr>
          <w:p>
            <w:pPr>
              <w:pStyle w:val="8"/>
              <w:spacing w:before="23" w:line="177" w:lineRule="auto"/>
              <w:ind w:left="21" w:right="391" w:firstLine="9"/>
            </w:pPr>
            <w:r>
              <w:rPr>
                <w:rFonts w:hint="eastAsia"/>
                <w:lang w:eastAsia="zh-CN"/>
              </w:rPr>
              <w:t>否</w:t>
            </w:r>
          </w:p>
        </w:tc>
        <w:tc>
          <w:tcPr>
            <w:tcW w:w="692" w:type="pct"/>
          </w:tcPr>
          <w:p>
            <w:pPr>
              <w:pStyle w:val="8"/>
              <w:spacing w:before="23" w:line="177" w:lineRule="auto"/>
              <w:ind w:left="21" w:right="391" w:firstLine="9"/>
            </w:pPr>
            <w:r>
              <w:rPr>
                <w:rFonts w:hint="eastAsia"/>
                <w:lang w:eastAsia="zh-CN"/>
              </w:rPr>
              <w:t>是，福建省肿瘤医院</w:t>
            </w:r>
          </w:p>
        </w:tc>
        <w:tc>
          <w:tcPr>
            <w:tcW w:w="477" w:type="pct"/>
          </w:tcPr>
          <w:p>
            <w:pPr>
              <w:pStyle w:val="8"/>
              <w:spacing w:before="218" w:line="160" w:lineRule="exact"/>
              <w:ind w:left="30"/>
              <w:rPr>
                <w:lang w:eastAsia="zh-CN"/>
              </w:rPr>
            </w:pPr>
            <w:r>
              <w:rPr>
                <w:rFonts w:hint="eastAsia"/>
                <w:lang w:val="en-US" w:eastAsia="zh-CN"/>
              </w:rPr>
              <w:t>25</w:t>
            </w:r>
            <w:r>
              <w:rPr>
                <w:rFonts w:hint="eastAsia"/>
                <w:lang w:eastAsia="zh-CN"/>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34" w:hRule="atLeast"/>
        </w:trPr>
        <w:tc>
          <w:tcPr>
            <w:tcW w:w="168" w:type="pct"/>
            <w:tcBorders>
              <w:bottom w:val="nil"/>
            </w:tcBorders>
          </w:tcPr>
          <w:p>
            <w:pPr>
              <w:spacing w:line="291" w:lineRule="auto"/>
            </w:pPr>
          </w:p>
          <w:p>
            <w:pPr>
              <w:spacing w:line="291" w:lineRule="auto"/>
            </w:pPr>
          </w:p>
          <w:p>
            <w:pPr>
              <w:spacing w:line="291" w:lineRule="auto"/>
            </w:pPr>
          </w:p>
          <w:p>
            <w:pPr>
              <w:spacing w:line="292" w:lineRule="auto"/>
            </w:pPr>
          </w:p>
          <w:p>
            <w:pPr>
              <w:pStyle w:val="8"/>
              <w:spacing w:before="60" w:line="177" w:lineRule="auto"/>
              <w:ind w:left="36"/>
            </w:pPr>
            <w:r>
              <w:rPr>
                <w:spacing w:val="-5"/>
              </w:rPr>
              <w:t>18</w:t>
            </w:r>
          </w:p>
        </w:tc>
        <w:tc>
          <w:tcPr>
            <w:tcW w:w="301" w:type="pct"/>
            <w:tcBorders>
              <w:bottom w:val="nil"/>
            </w:tcBorders>
          </w:tcPr>
          <w:p>
            <w:pPr>
              <w:spacing w:line="288" w:lineRule="auto"/>
            </w:pPr>
          </w:p>
          <w:p>
            <w:pPr>
              <w:spacing w:line="289" w:lineRule="auto"/>
            </w:pPr>
          </w:p>
          <w:p>
            <w:pPr>
              <w:spacing w:line="289" w:lineRule="auto"/>
            </w:pPr>
          </w:p>
          <w:p>
            <w:pPr>
              <w:spacing w:line="289" w:lineRule="auto"/>
            </w:pPr>
          </w:p>
          <w:p>
            <w:pPr>
              <w:pStyle w:val="8"/>
              <w:spacing w:before="60" w:line="187" w:lineRule="auto"/>
              <w:ind w:left="28"/>
            </w:pPr>
            <w:r>
              <w:rPr>
                <w:spacing w:val="-3"/>
              </w:rPr>
              <w:t>肾癌</w:t>
            </w:r>
          </w:p>
        </w:tc>
        <w:tc>
          <w:tcPr>
            <w:tcW w:w="520" w:type="pct"/>
          </w:tcPr>
          <w:p>
            <w:pPr>
              <w:pStyle w:val="8"/>
              <w:spacing w:before="127" w:line="186" w:lineRule="auto"/>
              <w:ind w:left="18"/>
            </w:pPr>
            <w:r>
              <w:rPr>
                <w:spacing w:val="-2"/>
              </w:rPr>
              <w:t>TFE3， TFEB基因</w:t>
            </w:r>
          </w:p>
        </w:tc>
        <w:tc>
          <w:tcPr>
            <w:tcW w:w="377" w:type="pct"/>
          </w:tcPr>
          <w:p>
            <w:pPr>
              <w:pStyle w:val="8"/>
              <w:spacing w:before="126" w:line="187" w:lineRule="auto"/>
              <w:ind w:left="27"/>
            </w:pPr>
            <w:r>
              <w:rPr>
                <w:spacing w:val="2"/>
              </w:rPr>
              <w:t>3.诊断和鉴别诊断</w:t>
            </w:r>
          </w:p>
        </w:tc>
        <w:tc>
          <w:tcPr>
            <w:tcW w:w="331" w:type="pct"/>
          </w:tcPr>
          <w:p>
            <w:pPr>
              <w:pStyle w:val="8"/>
              <w:spacing w:before="99" w:line="232" w:lineRule="auto"/>
              <w:ind w:left="15"/>
            </w:pPr>
            <w:r>
              <w:rPr>
                <w:spacing w:val="5"/>
              </w:rPr>
              <w:t>/</w:t>
            </w:r>
          </w:p>
        </w:tc>
        <w:tc>
          <w:tcPr>
            <w:tcW w:w="805" w:type="pct"/>
          </w:tcPr>
          <w:p>
            <w:pPr>
              <w:pStyle w:val="8"/>
              <w:spacing w:before="3" w:line="187" w:lineRule="auto"/>
              <w:ind w:left="22" w:right="60" w:firstLine="1"/>
              <w:rPr>
                <w:lang w:eastAsia="zh-CN"/>
              </w:rPr>
            </w:pPr>
            <w:r>
              <w:rPr>
                <w:lang w:eastAsia="zh-CN"/>
              </w:rPr>
              <w:t>TFE</w:t>
            </w:r>
            <w:r>
              <w:rPr>
                <w:spacing w:val="1"/>
                <w:lang w:eastAsia="zh-CN"/>
              </w:rPr>
              <w:t>3或</w:t>
            </w:r>
            <w:r>
              <w:rPr>
                <w:lang w:eastAsia="zh-CN"/>
              </w:rPr>
              <w:t>TFEB</w:t>
            </w:r>
            <w:r>
              <w:rPr>
                <w:spacing w:val="1"/>
                <w:lang w:eastAsia="zh-CN"/>
              </w:rPr>
              <w:t>免疫组化阳性， 确诊</w:t>
            </w:r>
            <w:r>
              <w:rPr>
                <w:lang w:eastAsia="zh-CN"/>
              </w:rPr>
              <w:t>MiT</w:t>
            </w:r>
            <w:r>
              <w:rPr>
                <w:spacing w:val="1"/>
                <w:lang w:eastAsia="zh-CN"/>
              </w:rPr>
              <w:t>家</w:t>
            </w:r>
            <w:r>
              <w:rPr>
                <w:spacing w:val="10"/>
                <w:lang w:eastAsia="zh-CN"/>
              </w:rPr>
              <w:t xml:space="preserve"> </w:t>
            </w:r>
            <w:r>
              <w:rPr>
                <w:spacing w:val="3"/>
                <w:lang w:eastAsia="zh-CN"/>
              </w:rPr>
              <w:t>族易位肾细胞癌</w:t>
            </w:r>
          </w:p>
        </w:tc>
        <w:tc>
          <w:tcPr>
            <w:tcW w:w="898" w:type="pct"/>
          </w:tcPr>
          <w:p>
            <w:pPr>
              <w:pStyle w:val="8"/>
              <w:spacing w:before="29" w:line="174" w:lineRule="auto"/>
              <w:ind w:left="25" w:right="114" w:firstLine="11"/>
              <w:rPr>
                <w:lang w:eastAsia="zh-CN"/>
              </w:rPr>
            </w:pPr>
            <w:r>
              <w:rPr>
                <w:spacing w:val="3"/>
                <w:lang w:eastAsia="zh-CN"/>
              </w:rPr>
              <w:t xml:space="preserve">肾细胞癌分子病理研究进展及检测专家共 </w:t>
            </w:r>
            <w:r>
              <w:rPr>
                <w:spacing w:val="-3"/>
                <w:lang w:eastAsia="zh-CN"/>
              </w:rPr>
              <w:t>识 （2020版）</w:t>
            </w:r>
          </w:p>
        </w:tc>
        <w:tc>
          <w:tcPr>
            <w:tcW w:w="426" w:type="pct"/>
          </w:tcPr>
          <w:p>
            <w:pPr>
              <w:pStyle w:val="8"/>
              <w:spacing w:before="29" w:line="174" w:lineRule="auto"/>
              <w:ind w:left="25" w:right="114" w:firstLine="11"/>
              <w:rPr>
                <w:spacing w:val="3"/>
                <w:lang w:eastAsia="zh-CN"/>
              </w:rPr>
            </w:pPr>
            <w:r>
              <w:rPr>
                <w:rFonts w:hint="eastAsia"/>
                <w:spacing w:val="3"/>
                <w:lang w:eastAsia="zh-CN"/>
              </w:rPr>
              <w:t>否</w:t>
            </w:r>
          </w:p>
        </w:tc>
        <w:tc>
          <w:tcPr>
            <w:tcW w:w="692" w:type="pct"/>
          </w:tcPr>
          <w:p>
            <w:pPr>
              <w:pStyle w:val="8"/>
              <w:spacing w:before="29" w:line="174" w:lineRule="auto"/>
              <w:ind w:left="25" w:right="114" w:firstLine="11"/>
              <w:rPr>
                <w:spacing w:val="3"/>
              </w:rPr>
            </w:pPr>
            <w:r>
              <w:rPr>
                <w:rFonts w:hint="eastAsia"/>
                <w:lang w:eastAsia="zh-CN"/>
              </w:rPr>
              <w:t>是，福建省肿瘤医院</w:t>
            </w:r>
          </w:p>
        </w:tc>
        <w:tc>
          <w:tcPr>
            <w:tcW w:w="477" w:type="pct"/>
            <w:vAlign w:val="top"/>
          </w:tcPr>
          <w:p>
            <w:pPr>
              <w:pStyle w:val="8"/>
              <w:spacing w:before="218" w:line="160" w:lineRule="exact"/>
              <w:ind w:left="30" w:leftChars="0"/>
              <w:rPr>
                <w:lang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3" w:hRule="atLeast"/>
        </w:trPr>
        <w:tc>
          <w:tcPr>
            <w:tcW w:w="168" w:type="pct"/>
          </w:tcPr>
          <w:p>
            <w:pPr>
              <w:pStyle w:val="8"/>
              <w:spacing w:before="284" w:line="177" w:lineRule="auto"/>
              <w:ind w:left="36"/>
            </w:pPr>
            <w:r>
              <w:rPr>
                <w:spacing w:val="-5"/>
              </w:rPr>
              <w:t>19</w:t>
            </w:r>
          </w:p>
        </w:tc>
        <w:tc>
          <w:tcPr>
            <w:tcW w:w="301" w:type="pct"/>
          </w:tcPr>
          <w:p>
            <w:pPr>
              <w:pStyle w:val="8"/>
              <w:spacing w:before="275" w:line="187" w:lineRule="auto"/>
              <w:ind w:left="16"/>
            </w:pPr>
            <w:r>
              <w:rPr>
                <w:spacing w:val="3"/>
              </w:rPr>
              <w:t>尿路上皮癌</w:t>
            </w:r>
          </w:p>
        </w:tc>
        <w:tc>
          <w:tcPr>
            <w:tcW w:w="520" w:type="pct"/>
          </w:tcPr>
          <w:p>
            <w:pPr>
              <w:pStyle w:val="8"/>
              <w:spacing w:before="248" w:line="232" w:lineRule="auto"/>
              <w:ind w:left="29"/>
            </w:pPr>
            <w:r>
              <w:t>FGFR2/3</w:t>
            </w:r>
          </w:p>
        </w:tc>
        <w:tc>
          <w:tcPr>
            <w:tcW w:w="377" w:type="pct"/>
          </w:tcPr>
          <w:p>
            <w:pPr>
              <w:pStyle w:val="8"/>
              <w:spacing w:before="275" w:line="187" w:lineRule="auto"/>
              <w:ind w:left="32"/>
            </w:pPr>
            <w:r>
              <w:rPr>
                <w:spacing w:val="1"/>
              </w:rPr>
              <w:t>1.指导靶向治疗</w:t>
            </w:r>
          </w:p>
        </w:tc>
        <w:tc>
          <w:tcPr>
            <w:tcW w:w="331" w:type="pct"/>
          </w:tcPr>
          <w:p>
            <w:pPr>
              <w:pStyle w:val="8"/>
              <w:spacing w:before="277" w:line="185" w:lineRule="auto"/>
              <w:ind w:left="19"/>
            </w:pPr>
            <w:r>
              <w:rPr>
                <w:spacing w:val="3"/>
              </w:rPr>
              <w:t>厄达替尼</w:t>
            </w:r>
          </w:p>
        </w:tc>
        <w:tc>
          <w:tcPr>
            <w:tcW w:w="805" w:type="pct"/>
          </w:tcPr>
          <w:p>
            <w:pPr>
              <w:pStyle w:val="8"/>
              <w:spacing w:before="275" w:line="187" w:lineRule="auto"/>
              <w:ind w:left="23"/>
              <w:rPr>
                <w:lang w:eastAsia="zh-CN"/>
              </w:rPr>
            </w:pPr>
            <w:r>
              <w:rPr>
                <w:spacing w:val="3"/>
                <w:lang w:eastAsia="zh-CN"/>
              </w:rPr>
              <w:t>转移性尿路上皮癌二或后线治疗策略</w:t>
            </w:r>
          </w:p>
        </w:tc>
        <w:tc>
          <w:tcPr>
            <w:tcW w:w="898" w:type="pct"/>
          </w:tcPr>
          <w:p>
            <w:pPr>
              <w:pStyle w:val="8"/>
              <w:spacing w:before="145" w:line="217" w:lineRule="auto"/>
              <w:ind w:left="25" w:right="45" w:firstLine="5"/>
            </w:pPr>
            <w:r>
              <w:t>CSCO</w:t>
            </w:r>
            <w:r>
              <w:rPr>
                <w:spacing w:val="4"/>
              </w:rPr>
              <w:t>尿路上皮癌2023/</w:t>
            </w:r>
            <w:r>
              <w:t>NCCN</w:t>
            </w:r>
            <w:r>
              <w:rPr>
                <w:spacing w:val="4"/>
              </w:rPr>
              <w:t>尿路上皮癌</w:t>
            </w:r>
            <w:r>
              <w:rPr>
                <w:spacing w:val="8"/>
              </w:rPr>
              <w:t xml:space="preserve"> </w:t>
            </w:r>
            <w:r>
              <w:rPr>
                <w:spacing w:val="-2"/>
              </w:rPr>
              <w:t>指南 （2023.V1）</w:t>
            </w:r>
          </w:p>
        </w:tc>
        <w:tc>
          <w:tcPr>
            <w:tcW w:w="426" w:type="pct"/>
          </w:tcPr>
          <w:p>
            <w:pPr>
              <w:pStyle w:val="8"/>
              <w:spacing w:before="29" w:line="174" w:lineRule="auto"/>
              <w:ind w:left="25" w:right="114" w:firstLine="11"/>
              <w:rPr>
                <w:spacing w:val="3"/>
                <w:lang w:eastAsia="zh-CN"/>
              </w:rPr>
            </w:pPr>
            <w:r>
              <w:rPr>
                <w:rFonts w:hint="eastAsia"/>
                <w:spacing w:val="3"/>
                <w:lang w:eastAsia="zh-CN"/>
              </w:rPr>
              <w:t>否</w:t>
            </w:r>
          </w:p>
        </w:tc>
        <w:tc>
          <w:tcPr>
            <w:tcW w:w="692" w:type="pct"/>
          </w:tcPr>
          <w:p>
            <w:pPr>
              <w:pStyle w:val="8"/>
              <w:spacing w:before="29" w:line="174" w:lineRule="auto"/>
              <w:ind w:left="25" w:right="114" w:firstLine="11"/>
              <w:rPr>
                <w:spacing w:val="3"/>
              </w:rPr>
            </w:pPr>
            <w:r>
              <w:rPr>
                <w:rFonts w:hint="eastAsia"/>
                <w:lang w:eastAsia="zh-CN"/>
              </w:rPr>
              <w:t>是，福建省肿瘤医院</w:t>
            </w:r>
          </w:p>
        </w:tc>
        <w:tc>
          <w:tcPr>
            <w:tcW w:w="477" w:type="pct"/>
            <w:vAlign w:val="top"/>
          </w:tcPr>
          <w:p>
            <w:pPr>
              <w:pStyle w:val="8"/>
              <w:spacing w:before="218" w:line="160" w:lineRule="exact"/>
              <w:ind w:left="30" w:leftChars="0"/>
              <w:rPr>
                <w:lang w:eastAsia="zh-CN"/>
              </w:rPr>
            </w:pPr>
            <w:r>
              <w:rPr>
                <w:rFonts w:hint="eastAsia"/>
                <w:lang w:val="en-US" w:eastAsia="zh-CN"/>
              </w:rPr>
              <w:t>972</w:t>
            </w:r>
          </w:p>
        </w:tc>
      </w:tr>
    </w:tbl>
    <w:p/>
    <w:p>
      <w:pPr>
        <w:sectPr>
          <w:footerReference r:id="rId9" w:type="default"/>
          <w:pgSz w:w="16837" w:h="11905"/>
          <w:pgMar w:top="400" w:right="531" w:bottom="403" w:left="393" w:header="0" w:footer="238" w:gutter="0"/>
          <w:cols w:space="720" w:num="1"/>
        </w:sectPr>
      </w:pPr>
    </w:p>
    <w:p>
      <w:pPr>
        <w:spacing w:line="48" w:lineRule="exact"/>
      </w:pPr>
    </w:p>
    <w:tbl>
      <w:tblPr>
        <w:tblStyle w:val="7"/>
        <w:tblW w:w="1502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82"/>
        <w:gridCol w:w="981"/>
        <w:gridCol w:w="942"/>
        <w:gridCol w:w="1134"/>
        <w:gridCol w:w="1985"/>
        <w:gridCol w:w="1417"/>
        <w:gridCol w:w="3119"/>
        <w:gridCol w:w="1501"/>
        <w:gridCol w:w="2052"/>
        <w:gridCol w:w="14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1" w:hRule="atLeast"/>
        </w:trPr>
        <w:tc>
          <w:tcPr>
            <w:tcW w:w="482" w:type="dxa"/>
          </w:tcPr>
          <w:p>
            <w:pPr>
              <w:spacing w:before="155" w:line="228" w:lineRule="auto"/>
              <w:ind w:left="192"/>
              <w:rPr>
                <w:rFonts w:ascii="黑体" w:hAnsi="黑体" w:eastAsia="黑体" w:cs="黑体"/>
                <w:sz w:val="14"/>
                <w:szCs w:val="14"/>
              </w:rPr>
            </w:pPr>
            <w:r>
              <w:rPr>
                <w:rFonts w:ascii="黑体" w:hAnsi="黑体" w:eastAsia="黑体" w:cs="黑体"/>
                <w:spacing w:val="1"/>
                <w:sz w:val="14"/>
                <w:szCs w:val="14"/>
              </w:rPr>
              <w:t>序号</w:t>
            </w:r>
          </w:p>
        </w:tc>
        <w:tc>
          <w:tcPr>
            <w:tcW w:w="981" w:type="dxa"/>
          </w:tcPr>
          <w:p>
            <w:pPr>
              <w:spacing w:before="155" w:line="226" w:lineRule="auto"/>
              <w:ind w:left="400"/>
              <w:rPr>
                <w:rFonts w:ascii="黑体" w:hAnsi="黑体" w:eastAsia="黑体" w:cs="黑体"/>
                <w:sz w:val="14"/>
                <w:szCs w:val="14"/>
              </w:rPr>
            </w:pPr>
            <w:r>
              <w:rPr>
                <w:rFonts w:ascii="黑体" w:hAnsi="黑体" w:eastAsia="黑体" w:cs="黑体"/>
                <w:spacing w:val="3"/>
                <w:sz w:val="14"/>
                <w:szCs w:val="14"/>
              </w:rPr>
              <w:t>病种名称</w:t>
            </w:r>
          </w:p>
        </w:tc>
        <w:tc>
          <w:tcPr>
            <w:tcW w:w="942" w:type="dxa"/>
          </w:tcPr>
          <w:p>
            <w:pPr>
              <w:spacing w:before="154" w:line="228" w:lineRule="auto"/>
              <w:ind w:left="646"/>
              <w:rPr>
                <w:rFonts w:ascii="黑体" w:hAnsi="黑体" w:eastAsia="黑体" w:cs="黑体"/>
                <w:sz w:val="14"/>
                <w:szCs w:val="14"/>
              </w:rPr>
            </w:pPr>
            <w:r>
              <w:rPr>
                <w:rFonts w:ascii="黑体" w:hAnsi="黑体" w:eastAsia="黑体" w:cs="黑体"/>
                <w:spacing w:val="3"/>
                <w:sz w:val="14"/>
                <w:szCs w:val="14"/>
              </w:rPr>
              <w:t>对应检测基因</w:t>
            </w:r>
          </w:p>
        </w:tc>
        <w:tc>
          <w:tcPr>
            <w:tcW w:w="1134" w:type="dxa"/>
          </w:tcPr>
          <w:p>
            <w:pPr>
              <w:spacing w:before="155" w:line="228" w:lineRule="auto"/>
              <w:ind w:left="359"/>
              <w:rPr>
                <w:rFonts w:ascii="黑体" w:hAnsi="黑体" w:eastAsia="黑体" w:cs="黑体"/>
                <w:sz w:val="14"/>
                <w:szCs w:val="14"/>
              </w:rPr>
            </w:pPr>
            <w:r>
              <w:rPr>
                <w:rFonts w:ascii="黑体" w:hAnsi="黑体" w:eastAsia="黑体" w:cs="黑体"/>
                <w:spacing w:val="3"/>
                <w:sz w:val="14"/>
                <w:szCs w:val="14"/>
              </w:rPr>
              <w:t>检测意义</w:t>
            </w:r>
          </w:p>
        </w:tc>
        <w:tc>
          <w:tcPr>
            <w:tcW w:w="1985" w:type="dxa"/>
          </w:tcPr>
          <w:p>
            <w:pPr>
              <w:spacing w:before="154" w:line="228" w:lineRule="auto"/>
              <w:rPr>
                <w:rFonts w:ascii="黑体" w:hAnsi="黑体" w:eastAsia="黑体" w:cs="黑体"/>
                <w:sz w:val="14"/>
                <w:szCs w:val="14"/>
              </w:rPr>
            </w:pPr>
            <w:r>
              <w:rPr>
                <w:rFonts w:ascii="黑体" w:hAnsi="黑体" w:eastAsia="黑体" w:cs="黑体"/>
                <w:spacing w:val="3"/>
                <w:sz w:val="14"/>
                <w:szCs w:val="14"/>
              </w:rPr>
              <w:t>指南推荐药物</w:t>
            </w:r>
          </w:p>
        </w:tc>
        <w:tc>
          <w:tcPr>
            <w:tcW w:w="1417" w:type="dxa"/>
          </w:tcPr>
          <w:p>
            <w:pPr>
              <w:spacing w:before="155" w:line="226" w:lineRule="auto"/>
              <w:rPr>
                <w:rFonts w:ascii="黑体" w:hAnsi="黑体" w:eastAsia="黑体" w:cs="黑体"/>
                <w:sz w:val="14"/>
                <w:szCs w:val="14"/>
              </w:rPr>
            </w:pPr>
            <w:r>
              <w:rPr>
                <w:rFonts w:ascii="黑体" w:hAnsi="黑体" w:eastAsia="黑体" w:cs="黑体"/>
                <w:spacing w:val="3"/>
                <w:sz w:val="14"/>
                <w:szCs w:val="14"/>
              </w:rPr>
              <w:t>基因检测适应症</w:t>
            </w:r>
          </w:p>
        </w:tc>
        <w:tc>
          <w:tcPr>
            <w:tcW w:w="3119" w:type="dxa"/>
          </w:tcPr>
          <w:p>
            <w:pPr>
              <w:spacing w:before="155" w:line="226" w:lineRule="auto"/>
              <w:ind w:left="729"/>
              <w:rPr>
                <w:rFonts w:ascii="黑体" w:hAnsi="黑体" w:eastAsia="黑体" w:cs="黑体"/>
                <w:sz w:val="14"/>
                <w:szCs w:val="14"/>
              </w:rPr>
            </w:pPr>
            <w:r>
              <w:rPr>
                <w:rFonts w:ascii="黑体" w:hAnsi="黑体" w:eastAsia="黑体" w:cs="黑体"/>
                <w:spacing w:val="3"/>
                <w:sz w:val="14"/>
                <w:szCs w:val="14"/>
              </w:rPr>
              <w:t>诊疗规范或指南依据</w:t>
            </w:r>
          </w:p>
        </w:tc>
        <w:tc>
          <w:tcPr>
            <w:tcW w:w="1501" w:type="dxa"/>
            <w:vAlign w:val="center"/>
          </w:tcPr>
          <w:p>
            <w:pPr>
              <w:spacing w:before="155" w:line="180" w:lineRule="exact"/>
              <w:jc w:val="both"/>
              <w:rPr>
                <w:rFonts w:ascii="黑体" w:hAnsi="黑体" w:eastAsia="黑体" w:cs="黑体"/>
                <w:b/>
                <w:bCs/>
                <w:spacing w:val="1"/>
                <w:sz w:val="14"/>
                <w:szCs w:val="14"/>
              </w:rPr>
            </w:pPr>
            <w:r>
              <w:rPr>
                <w:rFonts w:hint="eastAsia" w:ascii="黑体" w:hAnsi="黑体" w:eastAsia="黑体" w:cs="黑体"/>
                <w:b/>
                <w:bCs/>
                <w:spacing w:val="1"/>
                <w:sz w:val="14"/>
                <w:szCs w:val="14"/>
                <w:lang w:eastAsia="zh-CN"/>
              </w:rPr>
              <w:t>是否本机构开展</w:t>
            </w:r>
          </w:p>
        </w:tc>
        <w:tc>
          <w:tcPr>
            <w:tcW w:w="2052" w:type="dxa"/>
            <w:vAlign w:val="center"/>
          </w:tcPr>
          <w:p>
            <w:pPr>
              <w:spacing w:before="155" w:line="180" w:lineRule="exact"/>
              <w:jc w:val="both"/>
              <w:rPr>
                <w:rFonts w:ascii="黑体" w:hAnsi="黑体" w:eastAsia="黑体" w:cs="黑体"/>
                <w:b/>
                <w:bCs/>
                <w:spacing w:val="1"/>
                <w:sz w:val="14"/>
                <w:szCs w:val="14"/>
                <w:lang w:eastAsia="zh-CN"/>
              </w:rPr>
            </w:pPr>
            <w:r>
              <w:rPr>
                <w:rFonts w:hint="eastAsia" w:ascii="黑体" w:hAnsi="黑体" w:eastAsia="黑体" w:cs="黑体"/>
                <w:b/>
                <w:bCs/>
                <w:spacing w:val="1"/>
                <w:sz w:val="14"/>
                <w:szCs w:val="14"/>
                <w:lang w:eastAsia="zh-CN"/>
              </w:rPr>
              <w:t>是否外送，外送机构</w:t>
            </w:r>
          </w:p>
        </w:tc>
        <w:tc>
          <w:tcPr>
            <w:tcW w:w="1416" w:type="dxa"/>
            <w:vAlign w:val="center"/>
          </w:tcPr>
          <w:p>
            <w:pPr>
              <w:spacing w:before="155" w:line="180" w:lineRule="exact"/>
              <w:ind w:left="192"/>
              <w:jc w:val="center"/>
              <w:rPr>
                <w:rFonts w:ascii="黑体" w:hAnsi="黑体" w:eastAsia="黑体" w:cs="黑体"/>
                <w:b/>
                <w:bCs/>
                <w:spacing w:val="1"/>
                <w:sz w:val="14"/>
                <w:szCs w:val="14"/>
                <w:lang w:eastAsia="zh-CN"/>
              </w:rPr>
            </w:pPr>
            <w:r>
              <w:rPr>
                <w:rFonts w:hint="eastAsia" w:ascii="黑体" w:hAnsi="黑体" w:eastAsia="黑体" w:cs="黑体"/>
                <w:b/>
                <w:bCs/>
                <w:spacing w:val="1"/>
                <w:sz w:val="14"/>
                <w:szCs w:val="14"/>
                <w:lang w:eastAsia="zh-CN"/>
              </w:rPr>
              <w:t>价格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2" w:hRule="atLeast"/>
        </w:trPr>
        <w:tc>
          <w:tcPr>
            <w:tcW w:w="482" w:type="dxa"/>
            <w:vMerge w:val="restart"/>
            <w:tcBorders>
              <w:bottom w:val="nil"/>
            </w:tcBorders>
          </w:tcPr>
          <w:p>
            <w:pPr>
              <w:spacing w:line="242" w:lineRule="auto"/>
            </w:pPr>
          </w:p>
          <w:p>
            <w:pPr>
              <w:spacing w:line="242" w:lineRule="auto"/>
            </w:pPr>
          </w:p>
          <w:p>
            <w:pPr>
              <w:spacing w:line="242" w:lineRule="auto"/>
            </w:pPr>
          </w:p>
          <w:p>
            <w:pPr>
              <w:spacing w:line="242" w:lineRule="auto"/>
            </w:pPr>
          </w:p>
          <w:p>
            <w:pPr>
              <w:spacing w:line="242" w:lineRule="auto"/>
            </w:pPr>
          </w:p>
          <w:p>
            <w:pPr>
              <w:spacing w:line="242" w:lineRule="auto"/>
            </w:pPr>
          </w:p>
          <w:p>
            <w:pPr>
              <w:spacing w:line="242" w:lineRule="auto"/>
            </w:pPr>
          </w:p>
          <w:p>
            <w:pPr>
              <w:spacing w:line="242" w:lineRule="auto"/>
            </w:pPr>
          </w:p>
          <w:p>
            <w:pPr>
              <w:spacing w:line="242" w:lineRule="auto"/>
            </w:pPr>
          </w:p>
          <w:p>
            <w:pPr>
              <w:spacing w:line="243" w:lineRule="auto"/>
            </w:pPr>
          </w:p>
          <w:p>
            <w:pPr>
              <w:spacing w:line="243" w:lineRule="auto"/>
            </w:pPr>
          </w:p>
          <w:p>
            <w:pPr>
              <w:spacing w:line="243" w:lineRule="auto"/>
            </w:pPr>
          </w:p>
          <w:p>
            <w:pPr>
              <w:spacing w:line="243" w:lineRule="auto"/>
            </w:pPr>
          </w:p>
          <w:p>
            <w:pPr>
              <w:pStyle w:val="8"/>
              <w:spacing w:before="60" w:line="177" w:lineRule="auto"/>
              <w:ind w:left="29"/>
            </w:pPr>
            <w:r>
              <w:rPr>
                <w:spacing w:val="-2"/>
              </w:rPr>
              <w:t>20</w:t>
            </w:r>
          </w:p>
        </w:tc>
        <w:tc>
          <w:tcPr>
            <w:tcW w:w="981" w:type="dxa"/>
            <w:vMerge w:val="restart"/>
            <w:tcBorders>
              <w:bottom w:val="nil"/>
            </w:tcBorders>
          </w:tcPr>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2" w:lineRule="auto"/>
            </w:pPr>
          </w:p>
          <w:p>
            <w:pPr>
              <w:spacing w:line="242" w:lineRule="auto"/>
            </w:pPr>
          </w:p>
          <w:p>
            <w:pPr>
              <w:spacing w:line="242" w:lineRule="auto"/>
            </w:pPr>
          </w:p>
          <w:p>
            <w:pPr>
              <w:spacing w:line="242" w:lineRule="auto"/>
            </w:pPr>
          </w:p>
          <w:p>
            <w:pPr>
              <w:spacing w:line="242" w:lineRule="auto"/>
            </w:pPr>
          </w:p>
          <w:p>
            <w:pPr>
              <w:spacing w:line="242" w:lineRule="auto"/>
            </w:pPr>
          </w:p>
          <w:p>
            <w:pPr>
              <w:spacing w:line="242" w:lineRule="auto"/>
            </w:pPr>
          </w:p>
          <w:p>
            <w:pPr>
              <w:pStyle w:val="8"/>
              <w:spacing w:before="61" w:line="187" w:lineRule="auto"/>
              <w:ind w:left="20"/>
            </w:pPr>
            <w:r>
              <w:rPr>
                <w:spacing w:val="3"/>
              </w:rPr>
              <w:t>弥漫性胶质瘤</w:t>
            </w:r>
          </w:p>
        </w:tc>
        <w:tc>
          <w:tcPr>
            <w:tcW w:w="942" w:type="dxa"/>
          </w:tcPr>
          <w:p>
            <w:pPr>
              <w:pStyle w:val="8"/>
              <w:spacing w:before="107" w:line="231" w:lineRule="auto"/>
              <w:ind w:left="29"/>
            </w:pPr>
            <w:r>
              <w:t>IDH</w:t>
            </w:r>
            <w:r>
              <w:rPr>
                <w:spacing w:val="3"/>
              </w:rPr>
              <w:t>1和</w:t>
            </w:r>
            <w:r>
              <w:t>IDH</w:t>
            </w:r>
            <w:r>
              <w:rPr>
                <w:spacing w:val="3"/>
              </w:rPr>
              <w:t>2基因</w:t>
            </w:r>
          </w:p>
        </w:tc>
        <w:tc>
          <w:tcPr>
            <w:tcW w:w="1134" w:type="dxa"/>
          </w:tcPr>
          <w:p>
            <w:pPr>
              <w:pStyle w:val="8"/>
              <w:spacing w:before="133" w:line="187" w:lineRule="auto"/>
              <w:ind w:left="27"/>
            </w:pPr>
            <w:r>
              <w:rPr>
                <w:spacing w:val="2"/>
              </w:rPr>
              <w:t>3.诊断和鉴别诊断</w:t>
            </w:r>
          </w:p>
        </w:tc>
        <w:tc>
          <w:tcPr>
            <w:tcW w:w="1985" w:type="dxa"/>
          </w:tcPr>
          <w:p>
            <w:pPr>
              <w:pStyle w:val="8"/>
              <w:spacing w:before="107" w:line="232" w:lineRule="auto"/>
              <w:ind w:left="15"/>
            </w:pPr>
            <w:r>
              <w:rPr>
                <w:spacing w:val="5"/>
              </w:rPr>
              <w:t>/</w:t>
            </w:r>
          </w:p>
        </w:tc>
        <w:tc>
          <w:tcPr>
            <w:tcW w:w="1417" w:type="dxa"/>
          </w:tcPr>
          <w:p/>
        </w:tc>
        <w:tc>
          <w:tcPr>
            <w:tcW w:w="3119" w:type="dxa"/>
          </w:tcPr>
          <w:p>
            <w:pPr>
              <w:pStyle w:val="8"/>
              <w:spacing w:before="30" w:line="182" w:lineRule="auto"/>
              <w:ind w:left="24"/>
              <w:rPr>
                <w:lang w:eastAsia="zh-CN"/>
              </w:rPr>
            </w:pPr>
            <w:r>
              <w:rPr>
                <w:spacing w:val="4"/>
                <w:lang w:eastAsia="zh-CN"/>
              </w:rPr>
              <w:t>第五版</w:t>
            </w:r>
            <w:r>
              <w:rPr>
                <w:lang w:eastAsia="zh-CN"/>
              </w:rPr>
              <w:t>WHO</w:t>
            </w:r>
            <w:r>
              <w:rPr>
                <w:spacing w:val="4"/>
                <w:lang w:eastAsia="zh-CN"/>
              </w:rPr>
              <w:t>中枢神经系统肿瘤分类</w:t>
            </w:r>
          </w:p>
          <w:p>
            <w:pPr>
              <w:pStyle w:val="8"/>
              <w:spacing w:line="193" w:lineRule="auto"/>
              <w:ind w:left="47"/>
            </w:pPr>
            <w:r>
              <w:rPr>
                <w:spacing w:val="-2"/>
              </w:rPr>
              <w:t>（2021）</w:t>
            </w:r>
          </w:p>
        </w:tc>
        <w:tc>
          <w:tcPr>
            <w:tcW w:w="1501" w:type="dxa"/>
          </w:tcPr>
          <w:p>
            <w:pPr>
              <w:pStyle w:val="8"/>
              <w:spacing w:before="29" w:line="174" w:lineRule="auto"/>
              <w:ind w:left="25" w:right="114" w:firstLine="11"/>
              <w:rPr>
                <w:spacing w:val="3"/>
                <w:lang w:eastAsia="zh-CN"/>
              </w:rPr>
            </w:pPr>
            <w:r>
              <w:rPr>
                <w:rFonts w:hint="eastAsia"/>
                <w:spacing w:val="3"/>
                <w:lang w:eastAsia="zh-CN"/>
              </w:rPr>
              <w:t>否</w:t>
            </w:r>
          </w:p>
        </w:tc>
        <w:tc>
          <w:tcPr>
            <w:tcW w:w="2052" w:type="dxa"/>
          </w:tcPr>
          <w:p>
            <w:pPr>
              <w:pStyle w:val="8"/>
              <w:spacing w:before="29" w:line="174" w:lineRule="auto"/>
              <w:ind w:left="25" w:right="114" w:firstLine="11"/>
              <w:rPr>
                <w:spacing w:val="3"/>
              </w:rPr>
            </w:pPr>
            <w:r>
              <w:rPr>
                <w:rFonts w:hint="eastAsia"/>
                <w:lang w:eastAsia="zh-CN"/>
              </w:rPr>
              <w:t>是，福建省肿瘤医院</w:t>
            </w:r>
          </w:p>
        </w:tc>
        <w:tc>
          <w:tcPr>
            <w:tcW w:w="1416" w:type="dxa"/>
          </w:tcPr>
          <w:p>
            <w:pPr>
              <w:pStyle w:val="8"/>
              <w:spacing w:before="218" w:line="160" w:lineRule="exact"/>
              <w:ind w:left="30"/>
              <w:rPr>
                <w:lang w:eastAsia="zh-CN"/>
              </w:rPr>
            </w:pPr>
            <w:r>
              <w:rPr>
                <w:rFonts w:hint="eastAsia"/>
                <w:lang w:val="en-US" w:eastAsia="zh-CN"/>
              </w:rPr>
              <w:t>55</w:t>
            </w:r>
            <w:r>
              <w:rPr>
                <w:rFonts w:hint="eastAsia"/>
                <w:lang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4" w:hRule="atLeast"/>
        </w:trPr>
        <w:tc>
          <w:tcPr>
            <w:tcW w:w="482" w:type="dxa"/>
            <w:vMerge w:val="continue"/>
            <w:tcBorders>
              <w:top w:val="nil"/>
              <w:bottom w:val="nil"/>
            </w:tcBorders>
          </w:tcPr>
          <w:p>
            <w:pPr>
              <w:rPr>
                <w:lang w:eastAsia="zh-CN"/>
              </w:rPr>
            </w:pPr>
          </w:p>
        </w:tc>
        <w:tc>
          <w:tcPr>
            <w:tcW w:w="981" w:type="dxa"/>
            <w:vMerge w:val="continue"/>
            <w:tcBorders>
              <w:top w:val="nil"/>
              <w:bottom w:val="nil"/>
            </w:tcBorders>
          </w:tcPr>
          <w:p>
            <w:pPr>
              <w:rPr>
                <w:lang w:eastAsia="zh-CN"/>
              </w:rPr>
            </w:pPr>
          </w:p>
        </w:tc>
        <w:tc>
          <w:tcPr>
            <w:tcW w:w="942" w:type="dxa"/>
          </w:tcPr>
          <w:p>
            <w:pPr>
              <w:pStyle w:val="8"/>
              <w:spacing w:before="123" w:line="186" w:lineRule="auto"/>
              <w:ind w:left="18"/>
            </w:pPr>
            <w:r>
              <w:t>TERT</w:t>
            </w:r>
            <w:r>
              <w:rPr>
                <w:spacing w:val="6"/>
              </w:rPr>
              <w:t>基因</w:t>
            </w:r>
          </w:p>
        </w:tc>
        <w:tc>
          <w:tcPr>
            <w:tcW w:w="1134" w:type="dxa"/>
          </w:tcPr>
          <w:p>
            <w:pPr>
              <w:pStyle w:val="8"/>
              <w:spacing w:before="122" w:line="187" w:lineRule="auto"/>
              <w:ind w:left="27"/>
            </w:pPr>
            <w:r>
              <w:rPr>
                <w:spacing w:val="2"/>
              </w:rPr>
              <w:t>3.诊断和鉴别诊断</w:t>
            </w:r>
          </w:p>
        </w:tc>
        <w:tc>
          <w:tcPr>
            <w:tcW w:w="1985" w:type="dxa"/>
          </w:tcPr>
          <w:p>
            <w:pPr>
              <w:pStyle w:val="8"/>
              <w:spacing w:before="96" w:line="232" w:lineRule="auto"/>
              <w:ind w:left="15"/>
            </w:pPr>
            <w:r>
              <w:rPr>
                <w:spacing w:val="5"/>
              </w:rPr>
              <w:t>/</w:t>
            </w:r>
          </w:p>
        </w:tc>
        <w:tc>
          <w:tcPr>
            <w:tcW w:w="1417" w:type="dxa"/>
          </w:tcPr>
          <w:p/>
        </w:tc>
        <w:tc>
          <w:tcPr>
            <w:tcW w:w="3119" w:type="dxa"/>
          </w:tcPr>
          <w:p>
            <w:pPr>
              <w:pStyle w:val="8"/>
              <w:spacing w:before="26" w:line="180" w:lineRule="auto"/>
              <w:ind w:left="24"/>
              <w:rPr>
                <w:lang w:eastAsia="zh-CN"/>
              </w:rPr>
            </w:pPr>
            <w:r>
              <w:rPr>
                <w:spacing w:val="4"/>
                <w:lang w:eastAsia="zh-CN"/>
              </w:rPr>
              <w:t>第五版</w:t>
            </w:r>
            <w:r>
              <w:rPr>
                <w:lang w:eastAsia="zh-CN"/>
              </w:rPr>
              <w:t>WHO</w:t>
            </w:r>
            <w:r>
              <w:rPr>
                <w:spacing w:val="4"/>
                <w:lang w:eastAsia="zh-CN"/>
              </w:rPr>
              <w:t>中枢神经系统肿瘤分类</w:t>
            </w:r>
          </w:p>
          <w:p>
            <w:pPr>
              <w:pStyle w:val="8"/>
              <w:spacing w:line="171" w:lineRule="auto"/>
              <w:ind w:left="47"/>
            </w:pPr>
            <w:r>
              <w:rPr>
                <w:spacing w:val="-2"/>
              </w:rPr>
              <w:t>（2021）</w:t>
            </w:r>
          </w:p>
        </w:tc>
        <w:tc>
          <w:tcPr>
            <w:tcW w:w="1501" w:type="dxa"/>
          </w:tcPr>
          <w:p>
            <w:pPr>
              <w:pStyle w:val="8"/>
              <w:spacing w:before="29" w:line="174" w:lineRule="auto"/>
              <w:ind w:left="25" w:right="114" w:firstLine="11"/>
              <w:rPr>
                <w:spacing w:val="-2"/>
              </w:rPr>
            </w:pPr>
            <w:r>
              <w:rPr>
                <w:rFonts w:hint="eastAsia"/>
                <w:spacing w:val="3"/>
                <w:lang w:eastAsia="zh-CN"/>
              </w:rPr>
              <w:t>否</w:t>
            </w:r>
          </w:p>
        </w:tc>
        <w:tc>
          <w:tcPr>
            <w:tcW w:w="2052" w:type="dxa"/>
          </w:tcPr>
          <w:p>
            <w:pPr>
              <w:pStyle w:val="8"/>
              <w:spacing w:before="29" w:line="174" w:lineRule="auto"/>
              <w:ind w:left="25" w:right="114" w:firstLine="11"/>
              <w:rPr>
                <w:spacing w:val="-2"/>
              </w:rPr>
            </w:pPr>
            <w:r>
              <w:rPr>
                <w:rFonts w:hint="eastAsia"/>
                <w:lang w:eastAsia="zh-CN"/>
              </w:rPr>
              <w:t>是，福建省肿瘤医院</w:t>
            </w:r>
          </w:p>
        </w:tc>
        <w:tc>
          <w:tcPr>
            <w:tcW w:w="1416" w:type="dxa"/>
          </w:tcPr>
          <w:p>
            <w:pPr>
              <w:pStyle w:val="8"/>
              <w:spacing w:before="218" w:line="160" w:lineRule="exact"/>
              <w:ind w:left="30"/>
              <w:rPr>
                <w:rFonts w:hint="default"/>
                <w:lang w:val="en-US" w:eastAsia="zh-CN"/>
              </w:rPr>
            </w:pPr>
            <w:r>
              <w:rPr>
                <w:rFonts w:hint="eastAsia"/>
                <w:lang w:val="en-US" w:eastAsia="zh-CN"/>
              </w:rPr>
              <w:t>972</w:t>
            </w:r>
            <w:bookmarkStart w:id="0" w:name="_GoBack"/>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4" w:hRule="atLeast"/>
        </w:trPr>
        <w:tc>
          <w:tcPr>
            <w:tcW w:w="482" w:type="dxa"/>
            <w:vMerge w:val="continue"/>
            <w:tcBorders>
              <w:top w:val="nil"/>
              <w:bottom w:val="nil"/>
            </w:tcBorders>
          </w:tcPr>
          <w:p/>
        </w:tc>
        <w:tc>
          <w:tcPr>
            <w:tcW w:w="981" w:type="dxa"/>
            <w:vMerge w:val="continue"/>
            <w:tcBorders>
              <w:top w:val="nil"/>
              <w:bottom w:val="nil"/>
            </w:tcBorders>
          </w:tcPr>
          <w:p/>
        </w:tc>
        <w:tc>
          <w:tcPr>
            <w:tcW w:w="942" w:type="dxa"/>
          </w:tcPr>
          <w:p>
            <w:pPr>
              <w:pStyle w:val="8"/>
              <w:spacing w:before="123" w:line="186" w:lineRule="auto"/>
              <w:ind w:left="29"/>
            </w:pPr>
            <w:r>
              <w:t>EGFR</w:t>
            </w:r>
            <w:r>
              <w:rPr>
                <w:spacing w:val="1"/>
              </w:rPr>
              <w:t>基因</w:t>
            </w:r>
          </w:p>
        </w:tc>
        <w:tc>
          <w:tcPr>
            <w:tcW w:w="1134" w:type="dxa"/>
          </w:tcPr>
          <w:p>
            <w:pPr>
              <w:pStyle w:val="8"/>
              <w:spacing w:before="122" w:line="187" w:lineRule="auto"/>
              <w:ind w:left="27"/>
            </w:pPr>
            <w:r>
              <w:rPr>
                <w:spacing w:val="2"/>
              </w:rPr>
              <w:t>3.诊断和鉴别诊断</w:t>
            </w:r>
          </w:p>
        </w:tc>
        <w:tc>
          <w:tcPr>
            <w:tcW w:w="1985" w:type="dxa"/>
          </w:tcPr>
          <w:p>
            <w:pPr>
              <w:pStyle w:val="8"/>
              <w:spacing w:before="96" w:line="232" w:lineRule="auto"/>
              <w:ind w:left="15"/>
            </w:pPr>
            <w:r>
              <w:rPr>
                <w:spacing w:val="5"/>
              </w:rPr>
              <w:t>/</w:t>
            </w:r>
          </w:p>
        </w:tc>
        <w:tc>
          <w:tcPr>
            <w:tcW w:w="1417" w:type="dxa"/>
          </w:tcPr>
          <w:p/>
        </w:tc>
        <w:tc>
          <w:tcPr>
            <w:tcW w:w="3119" w:type="dxa"/>
          </w:tcPr>
          <w:p>
            <w:pPr>
              <w:pStyle w:val="8"/>
              <w:spacing w:before="26" w:line="180" w:lineRule="auto"/>
              <w:ind w:left="24"/>
              <w:rPr>
                <w:lang w:eastAsia="zh-CN"/>
              </w:rPr>
            </w:pPr>
            <w:r>
              <w:rPr>
                <w:spacing w:val="4"/>
                <w:lang w:eastAsia="zh-CN"/>
              </w:rPr>
              <w:t>第五版</w:t>
            </w:r>
            <w:r>
              <w:rPr>
                <w:lang w:eastAsia="zh-CN"/>
              </w:rPr>
              <w:t>WHO</w:t>
            </w:r>
            <w:r>
              <w:rPr>
                <w:spacing w:val="4"/>
                <w:lang w:eastAsia="zh-CN"/>
              </w:rPr>
              <w:t>中枢神经系统肿瘤分类</w:t>
            </w:r>
          </w:p>
          <w:p>
            <w:pPr>
              <w:pStyle w:val="8"/>
              <w:spacing w:line="171" w:lineRule="auto"/>
              <w:ind w:left="47"/>
            </w:pPr>
            <w:r>
              <w:rPr>
                <w:spacing w:val="-2"/>
              </w:rPr>
              <w:t>（2021）</w:t>
            </w:r>
          </w:p>
        </w:tc>
        <w:tc>
          <w:tcPr>
            <w:tcW w:w="1501" w:type="dxa"/>
          </w:tcPr>
          <w:p>
            <w:pPr>
              <w:pStyle w:val="8"/>
              <w:spacing w:before="29" w:line="174" w:lineRule="auto"/>
              <w:ind w:left="25" w:right="114" w:firstLine="11"/>
              <w:rPr>
                <w:spacing w:val="-2"/>
              </w:rPr>
            </w:pPr>
            <w:r>
              <w:rPr>
                <w:rFonts w:hint="eastAsia"/>
                <w:spacing w:val="3"/>
                <w:lang w:eastAsia="zh-CN"/>
              </w:rPr>
              <w:t>否</w:t>
            </w:r>
          </w:p>
        </w:tc>
        <w:tc>
          <w:tcPr>
            <w:tcW w:w="2052" w:type="dxa"/>
          </w:tcPr>
          <w:p>
            <w:pPr>
              <w:pStyle w:val="8"/>
              <w:spacing w:before="29" w:line="174" w:lineRule="auto"/>
              <w:ind w:left="25" w:right="114" w:firstLine="11"/>
              <w:rPr>
                <w:spacing w:val="-2"/>
              </w:rPr>
            </w:pPr>
            <w:r>
              <w:rPr>
                <w:rFonts w:hint="eastAsia"/>
                <w:lang w:eastAsia="zh-CN"/>
              </w:rPr>
              <w:t>是，福建省肿瘤医院</w:t>
            </w:r>
          </w:p>
        </w:tc>
        <w:tc>
          <w:tcPr>
            <w:tcW w:w="1416" w:type="dxa"/>
          </w:tcPr>
          <w:p>
            <w:pPr>
              <w:pStyle w:val="8"/>
              <w:spacing w:before="218" w:line="160" w:lineRule="exact"/>
              <w:rPr>
                <w:rFonts w:hint="default"/>
                <w:lang w:val="en-US" w:eastAsia="zh-CN"/>
              </w:rPr>
            </w:pPr>
            <w:r>
              <w:rPr>
                <w:rFonts w:hint="eastAsia"/>
                <w:lang w:val="en-US" w:eastAsia="zh-CN"/>
              </w:rPr>
              <w:t>1100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1" w:hRule="atLeast"/>
        </w:trPr>
        <w:tc>
          <w:tcPr>
            <w:tcW w:w="482" w:type="dxa"/>
            <w:vMerge w:val="continue"/>
            <w:tcBorders>
              <w:top w:val="nil"/>
              <w:bottom w:val="nil"/>
            </w:tcBorders>
          </w:tcPr>
          <w:p/>
        </w:tc>
        <w:tc>
          <w:tcPr>
            <w:tcW w:w="981" w:type="dxa"/>
            <w:vMerge w:val="continue"/>
            <w:tcBorders>
              <w:top w:val="nil"/>
              <w:bottom w:val="nil"/>
            </w:tcBorders>
          </w:tcPr>
          <w:p/>
        </w:tc>
        <w:tc>
          <w:tcPr>
            <w:tcW w:w="942" w:type="dxa"/>
          </w:tcPr>
          <w:p>
            <w:pPr>
              <w:pStyle w:val="8"/>
              <w:spacing w:before="124" w:line="186" w:lineRule="auto"/>
              <w:ind w:left="29"/>
            </w:pPr>
            <w:r>
              <w:t>BRAF基因</w:t>
            </w:r>
          </w:p>
        </w:tc>
        <w:tc>
          <w:tcPr>
            <w:tcW w:w="1134" w:type="dxa"/>
          </w:tcPr>
          <w:p>
            <w:pPr>
              <w:pStyle w:val="8"/>
              <w:spacing w:before="123" w:line="187" w:lineRule="auto"/>
              <w:ind w:left="27"/>
            </w:pPr>
            <w:r>
              <w:rPr>
                <w:spacing w:val="2"/>
              </w:rPr>
              <w:t>3.诊断和鉴别诊断</w:t>
            </w:r>
          </w:p>
        </w:tc>
        <w:tc>
          <w:tcPr>
            <w:tcW w:w="1985" w:type="dxa"/>
          </w:tcPr>
          <w:p>
            <w:pPr>
              <w:pStyle w:val="8"/>
              <w:spacing w:before="97" w:line="232" w:lineRule="auto"/>
              <w:ind w:left="15"/>
            </w:pPr>
            <w:r>
              <w:rPr>
                <w:spacing w:val="5"/>
              </w:rPr>
              <w:t>/</w:t>
            </w:r>
          </w:p>
        </w:tc>
        <w:tc>
          <w:tcPr>
            <w:tcW w:w="1417" w:type="dxa"/>
          </w:tcPr>
          <w:p/>
        </w:tc>
        <w:tc>
          <w:tcPr>
            <w:tcW w:w="3119" w:type="dxa"/>
          </w:tcPr>
          <w:p>
            <w:pPr>
              <w:pStyle w:val="8"/>
              <w:spacing w:before="26" w:line="180" w:lineRule="auto"/>
              <w:ind w:left="24"/>
              <w:rPr>
                <w:lang w:eastAsia="zh-CN"/>
              </w:rPr>
            </w:pPr>
            <w:r>
              <w:rPr>
                <w:spacing w:val="4"/>
                <w:lang w:eastAsia="zh-CN"/>
              </w:rPr>
              <w:t>第五版</w:t>
            </w:r>
            <w:r>
              <w:rPr>
                <w:lang w:eastAsia="zh-CN"/>
              </w:rPr>
              <w:t>WHO</w:t>
            </w:r>
            <w:r>
              <w:rPr>
                <w:spacing w:val="4"/>
                <w:lang w:eastAsia="zh-CN"/>
              </w:rPr>
              <w:t>中枢神经系统肿瘤分类</w:t>
            </w:r>
          </w:p>
          <w:p>
            <w:pPr>
              <w:pStyle w:val="8"/>
              <w:spacing w:line="170" w:lineRule="auto"/>
              <w:ind w:left="47"/>
            </w:pPr>
            <w:r>
              <w:rPr>
                <w:spacing w:val="-2"/>
              </w:rPr>
              <w:t>（2021）</w:t>
            </w:r>
          </w:p>
        </w:tc>
        <w:tc>
          <w:tcPr>
            <w:tcW w:w="1501" w:type="dxa"/>
          </w:tcPr>
          <w:p>
            <w:pPr>
              <w:pStyle w:val="8"/>
              <w:spacing w:before="29" w:line="174" w:lineRule="auto"/>
              <w:ind w:left="25" w:right="114" w:firstLine="11"/>
              <w:rPr>
                <w:spacing w:val="-2"/>
              </w:rPr>
            </w:pPr>
            <w:r>
              <w:rPr>
                <w:rFonts w:hint="eastAsia"/>
                <w:spacing w:val="3"/>
                <w:lang w:eastAsia="zh-CN"/>
              </w:rPr>
              <w:t>否</w:t>
            </w:r>
          </w:p>
        </w:tc>
        <w:tc>
          <w:tcPr>
            <w:tcW w:w="2052" w:type="dxa"/>
          </w:tcPr>
          <w:p>
            <w:pPr>
              <w:pStyle w:val="8"/>
              <w:spacing w:before="29" w:line="174" w:lineRule="auto"/>
              <w:ind w:left="25" w:right="114" w:firstLine="11"/>
              <w:rPr>
                <w:spacing w:val="-2"/>
              </w:rPr>
            </w:pPr>
            <w:r>
              <w:rPr>
                <w:rFonts w:hint="eastAsia"/>
                <w:lang w:eastAsia="zh-CN"/>
              </w:rPr>
              <w:t>是，福建省肿瘤医院</w:t>
            </w:r>
          </w:p>
        </w:tc>
        <w:tc>
          <w:tcPr>
            <w:tcW w:w="1416" w:type="dxa"/>
          </w:tcPr>
          <w:p>
            <w:pPr>
              <w:pStyle w:val="8"/>
              <w:spacing w:before="218" w:line="160" w:lineRule="exact"/>
              <w:ind w:left="30"/>
              <w:rPr>
                <w:lang w:eastAsia="zh-CN"/>
              </w:rPr>
            </w:pPr>
            <w:r>
              <w:rPr>
                <w:rFonts w:hint="eastAsia"/>
                <w:lang w:eastAsia="zh-CN"/>
              </w:rPr>
              <w:t>1100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4" w:hRule="atLeast"/>
        </w:trPr>
        <w:tc>
          <w:tcPr>
            <w:tcW w:w="482" w:type="dxa"/>
            <w:vMerge w:val="continue"/>
            <w:tcBorders>
              <w:top w:val="nil"/>
              <w:bottom w:val="nil"/>
            </w:tcBorders>
          </w:tcPr>
          <w:p/>
        </w:tc>
        <w:tc>
          <w:tcPr>
            <w:tcW w:w="981" w:type="dxa"/>
            <w:vMerge w:val="continue"/>
            <w:tcBorders>
              <w:top w:val="nil"/>
              <w:bottom w:val="nil"/>
            </w:tcBorders>
          </w:tcPr>
          <w:p/>
        </w:tc>
        <w:tc>
          <w:tcPr>
            <w:tcW w:w="942" w:type="dxa"/>
          </w:tcPr>
          <w:p>
            <w:pPr>
              <w:pStyle w:val="8"/>
              <w:spacing w:before="127" w:line="186" w:lineRule="auto"/>
              <w:ind w:left="18"/>
            </w:pPr>
            <w:r>
              <w:t>TP</w:t>
            </w:r>
            <w:r>
              <w:rPr>
                <w:spacing w:val="3"/>
              </w:rPr>
              <w:t>53基因</w:t>
            </w:r>
          </w:p>
        </w:tc>
        <w:tc>
          <w:tcPr>
            <w:tcW w:w="1134" w:type="dxa"/>
          </w:tcPr>
          <w:p>
            <w:pPr>
              <w:pStyle w:val="8"/>
              <w:spacing w:before="126" w:line="187" w:lineRule="auto"/>
              <w:ind w:left="27"/>
            </w:pPr>
            <w:r>
              <w:rPr>
                <w:spacing w:val="2"/>
              </w:rPr>
              <w:t>3.诊断和鉴别诊断</w:t>
            </w:r>
          </w:p>
        </w:tc>
        <w:tc>
          <w:tcPr>
            <w:tcW w:w="1985" w:type="dxa"/>
          </w:tcPr>
          <w:p>
            <w:pPr>
              <w:pStyle w:val="8"/>
              <w:spacing w:before="100" w:line="232" w:lineRule="auto"/>
              <w:ind w:left="15"/>
            </w:pPr>
            <w:r>
              <w:rPr>
                <w:spacing w:val="5"/>
              </w:rPr>
              <w:t>/</w:t>
            </w:r>
          </w:p>
        </w:tc>
        <w:tc>
          <w:tcPr>
            <w:tcW w:w="1417" w:type="dxa"/>
          </w:tcPr>
          <w:p/>
        </w:tc>
        <w:tc>
          <w:tcPr>
            <w:tcW w:w="3119" w:type="dxa"/>
          </w:tcPr>
          <w:p>
            <w:pPr>
              <w:pStyle w:val="8"/>
              <w:spacing w:before="30" w:line="180" w:lineRule="auto"/>
              <w:ind w:left="24"/>
              <w:rPr>
                <w:lang w:eastAsia="zh-CN"/>
              </w:rPr>
            </w:pPr>
            <w:r>
              <w:rPr>
                <w:spacing w:val="4"/>
                <w:lang w:eastAsia="zh-CN"/>
              </w:rPr>
              <w:t>第五版</w:t>
            </w:r>
            <w:r>
              <w:rPr>
                <w:lang w:eastAsia="zh-CN"/>
              </w:rPr>
              <w:t>WHO</w:t>
            </w:r>
            <w:r>
              <w:rPr>
                <w:spacing w:val="4"/>
                <w:lang w:eastAsia="zh-CN"/>
              </w:rPr>
              <w:t>中枢神经系统肿瘤分类</w:t>
            </w:r>
          </w:p>
          <w:p>
            <w:pPr>
              <w:pStyle w:val="8"/>
              <w:spacing w:line="167" w:lineRule="auto"/>
              <w:ind w:left="47"/>
            </w:pPr>
            <w:r>
              <w:rPr>
                <w:spacing w:val="-2"/>
              </w:rPr>
              <w:t>（2021）</w:t>
            </w:r>
          </w:p>
        </w:tc>
        <w:tc>
          <w:tcPr>
            <w:tcW w:w="1501" w:type="dxa"/>
          </w:tcPr>
          <w:p>
            <w:pPr>
              <w:pStyle w:val="8"/>
              <w:spacing w:before="29" w:line="174" w:lineRule="auto"/>
              <w:ind w:left="25" w:right="114" w:firstLine="11"/>
              <w:rPr>
                <w:spacing w:val="-2"/>
              </w:rPr>
            </w:pPr>
            <w:r>
              <w:rPr>
                <w:rFonts w:hint="eastAsia"/>
                <w:spacing w:val="3"/>
                <w:lang w:eastAsia="zh-CN"/>
              </w:rPr>
              <w:t>否</w:t>
            </w:r>
          </w:p>
        </w:tc>
        <w:tc>
          <w:tcPr>
            <w:tcW w:w="2052" w:type="dxa"/>
          </w:tcPr>
          <w:p>
            <w:pPr>
              <w:pStyle w:val="8"/>
              <w:spacing w:before="29" w:line="174" w:lineRule="auto"/>
              <w:ind w:left="25" w:right="114" w:firstLine="11"/>
              <w:rPr>
                <w:spacing w:val="-2"/>
              </w:rPr>
            </w:pPr>
            <w:r>
              <w:rPr>
                <w:rFonts w:hint="eastAsia"/>
                <w:lang w:eastAsia="zh-CN"/>
              </w:rPr>
              <w:t>是，福建省肿瘤医院</w:t>
            </w:r>
          </w:p>
        </w:tc>
        <w:tc>
          <w:tcPr>
            <w:tcW w:w="1416" w:type="dxa"/>
          </w:tcPr>
          <w:p>
            <w:pPr>
              <w:pStyle w:val="8"/>
              <w:spacing w:before="218" w:line="160" w:lineRule="exact"/>
              <w:ind w:left="30"/>
              <w:rPr>
                <w:lang w:eastAsia="zh-CN"/>
              </w:rPr>
            </w:pPr>
            <w:r>
              <w:rPr>
                <w:rFonts w:hint="eastAsia"/>
                <w:lang w:val="en-US" w:eastAsia="zh-CN"/>
              </w:rPr>
              <w:t>55</w:t>
            </w:r>
            <w:r>
              <w:rPr>
                <w:rFonts w:hint="eastAsia"/>
                <w:lang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4" w:hRule="atLeast"/>
        </w:trPr>
        <w:tc>
          <w:tcPr>
            <w:tcW w:w="482" w:type="dxa"/>
            <w:vMerge w:val="continue"/>
            <w:tcBorders>
              <w:top w:val="nil"/>
              <w:bottom w:val="nil"/>
            </w:tcBorders>
          </w:tcPr>
          <w:p/>
        </w:tc>
        <w:tc>
          <w:tcPr>
            <w:tcW w:w="981" w:type="dxa"/>
            <w:vMerge w:val="continue"/>
            <w:tcBorders>
              <w:top w:val="nil"/>
              <w:bottom w:val="nil"/>
            </w:tcBorders>
          </w:tcPr>
          <w:p/>
        </w:tc>
        <w:tc>
          <w:tcPr>
            <w:tcW w:w="942" w:type="dxa"/>
          </w:tcPr>
          <w:p>
            <w:pPr>
              <w:pStyle w:val="8"/>
              <w:spacing w:before="136" w:line="177" w:lineRule="auto"/>
              <w:ind w:left="29"/>
              <w:rPr>
                <w:highlight w:val="none"/>
              </w:rPr>
            </w:pPr>
            <w:r>
              <w:rPr>
                <w:spacing w:val="-1"/>
                <w:highlight w:val="none"/>
              </w:rPr>
              <w:t>PDGFRA</w:t>
            </w:r>
          </w:p>
        </w:tc>
        <w:tc>
          <w:tcPr>
            <w:tcW w:w="1134" w:type="dxa"/>
          </w:tcPr>
          <w:p>
            <w:pPr>
              <w:pStyle w:val="8"/>
              <w:spacing w:before="126" w:line="187" w:lineRule="auto"/>
              <w:ind w:left="27"/>
              <w:rPr>
                <w:highlight w:val="none"/>
              </w:rPr>
            </w:pPr>
            <w:r>
              <w:rPr>
                <w:spacing w:val="2"/>
                <w:highlight w:val="none"/>
              </w:rPr>
              <w:t>3.诊断和鉴别诊断</w:t>
            </w:r>
          </w:p>
        </w:tc>
        <w:tc>
          <w:tcPr>
            <w:tcW w:w="1985" w:type="dxa"/>
          </w:tcPr>
          <w:p>
            <w:pPr>
              <w:pStyle w:val="8"/>
              <w:spacing w:before="100" w:line="232" w:lineRule="auto"/>
              <w:ind w:left="15"/>
              <w:rPr>
                <w:highlight w:val="none"/>
              </w:rPr>
            </w:pPr>
            <w:r>
              <w:rPr>
                <w:spacing w:val="5"/>
                <w:highlight w:val="none"/>
              </w:rPr>
              <w:t>/</w:t>
            </w:r>
          </w:p>
        </w:tc>
        <w:tc>
          <w:tcPr>
            <w:tcW w:w="1417" w:type="dxa"/>
          </w:tcPr>
          <w:p>
            <w:pPr>
              <w:rPr>
                <w:highlight w:val="none"/>
              </w:rPr>
            </w:pPr>
          </w:p>
        </w:tc>
        <w:tc>
          <w:tcPr>
            <w:tcW w:w="3119" w:type="dxa"/>
          </w:tcPr>
          <w:p>
            <w:pPr>
              <w:pStyle w:val="8"/>
              <w:spacing w:before="30" w:line="180" w:lineRule="auto"/>
              <w:ind w:left="24"/>
              <w:rPr>
                <w:highlight w:val="none"/>
                <w:lang w:eastAsia="zh-CN"/>
              </w:rPr>
            </w:pPr>
            <w:r>
              <w:rPr>
                <w:spacing w:val="4"/>
                <w:highlight w:val="none"/>
                <w:lang w:eastAsia="zh-CN"/>
              </w:rPr>
              <w:t>第五版</w:t>
            </w:r>
            <w:r>
              <w:rPr>
                <w:highlight w:val="none"/>
                <w:lang w:eastAsia="zh-CN"/>
              </w:rPr>
              <w:t>WHO</w:t>
            </w:r>
            <w:r>
              <w:rPr>
                <w:spacing w:val="4"/>
                <w:highlight w:val="none"/>
                <w:lang w:eastAsia="zh-CN"/>
              </w:rPr>
              <w:t>中枢神经系统肿瘤分类</w:t>
            </w:r>
          </w:p>
          <w:p>
            <w:pPr>
              <w:pStyle w:val="8"/>
              <w:spacing w:line="167" w:lineRule="auto"/>
              <w:ind w:left="47"/>
              <w:rPr>
                <w:highlight w:val="none"/>
              </w:rPr>
            </w:pPr>
            <w:r>
              <w:rPr>
                <w:spacing w:val="-2"/>
                <w:highlight w:val="none"/>
              </w:rPr>
              <w:t>（2021）</w:t>
            </w:r>
          </w:p>
        </w:tc>
        <w:tc>
          <w:tcPr>
            <w:tcW w:w="1501" w:type="dxa"/>
          </w:tcPr>
          <w:p>
            <w:pPr>
              <w:pStyle w:val="8"/>
              <w:spacing w:before="29" w:line="174" w:lineRule="auto"/>
              <w:ind w:left="25" w:right="114" w:firstLine="11"/>
              <w:rPr>
                <w:spacing w:val="-2"/>
                <w:highlight w:val="none"/>
              </w:rPr>
            </w:pPr>
            <w:r>
              <w:rPr>
                <w:rFonts w:hint="eastAsia"/>
                <w:spacing w:val="3"/>
                <w:highlight w:val="none"/>
                <w:lang w:eastAsia="zh-CN"/>
              </w:rPr>
              <w:t>否</w:t>
            </w:r>
          </w:p>
        </w:tc>
        <w:tc>
          <w:tcPr>
            <w:tcW w:w="2052" w:type="dxa"/>
          </w:tcPr>
          <w:p>
            <w:pPr>
              <w:pStyle w:val="8"/>
              <w:spacing w:before="29" w:line="174" w:lineRule="auto"/>
              <w:ind w:left="25" w:right="114" w:firstLine="11"/>
              <w:rPr>
                <w:spacing w:val="-2"/>
                <w:highlight w:val="none"/>
              </w:rPr>
            </w:pPr>
            <w:r>
              <w:rPr>
                <w:rFonts w:hint="eastAsia"/>
                <w:highlight w:val="none"/>
                <w:lang w:eastAsia="zh-CN"/>
              </w:rPr>
              <w:t>是，福建省肿瘤医院</w:t>
            </w:r>
          </w:p>
        </w:tc>
        <w:tc>
          <w:tcPr>
            <w:tcW w:w="1416" w:type="dxa"/>
          </w:tcPr>
          <w:p>
            <w:pPr>
              <w:pStyle w:val="8"/>
              <w:spacing w:before="218" w:line="160" w:lineRule="exact"/>
              <w:ind w:left="30"/>
              <w:rPr>
                <w:highlight w:val="none"/>
                <w:lang w:eastAsia="zh-CN"/>
              </w:rPr>
            </w:pPr>
            <w:r>
              <w:rPr>
                <w:rFonts w:hint="eastAsia"/>
                <w:highlight w:val="none"/>
                <w:lang w:eastAsia="zh-CN"/>
              </w:rPr>
              <w:t>1</w:t>
            </w:r>
            <w:r>
              <w:rPr>
                <w:rFonts w:hint="eastAsia"/>
                <w:highlight w:val="none"/>
                <w:lang w:val="en-US" w:eastAsia="zh-CN"/>
              </w:rPr>
              <w:t>5</w:t>
            </w:r>
            <w:r>
              <w:rPr>
                <w:rFonts w:hint="eastAsia"/>
                <w:highlight w:val="none"/>
                <w:lang w:eastAsia="zh-CN"/>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1" w:hRule="atLeast"/>
        </w:trPr>
        <w:tc>
          <w:tcPr>
            <w:tcW w:w="482" w:type="dxa"/>
            <w:vMerge w:val="continue"/>
            <w:tcBorders>
              <w:top w:val="nil"/>
              <w:bottom w:val="nil"/>
            </w:tcBorders>
          </w:tcPr>
          <w:p/>
        </w:tc>
        <w:tc>
          <w:tcPr>
            <w:tcW w:w="981" w:type="dxa"/>
            <w:vMerge w:val="continue"/>
            <w:tcBorders>
              <w:top w:val="nil"/>
              <w:bottom w:val="nil"/>
            </w:tcBorders>
          </w:tcPr>
          <w:p/>
        </w:tc>
        <w:tc>
          <w:tcPr>
            <w:tcW w:w="942" w:type="dxa"/>
          </w:tcPr>
          <w:p>
            <w:pPr>
              <w:pStyle w:val="8"/>
              <w:spacing w:before="139" w:line="175" w:lineRule="auto"/>
              <w:ind w:left="29"/>
            </w:pPr>
            <w:r>
              <w:rPr>
                <w:spacing w:val="-2"/>
              </w:rPr>
              <w:t>MYB</w:t>
            </w:r>
          </w:p>
        </w:tc>
        <w:tc>
          <w:tcPr>
            <w:tcW w:w="1134" w:type="dxa"/>
          </w:tcPr>
          <w:p>
            <w:pPr>
              <w:pStyle w:val="8"/>
              <w:spacing w:before="127" w:line="187" w:lineRule="auto"/>
              <w:ind w:left="27"/>
            </w:pPr>
            <w:r>
              <w:rPr>
                <w:spacing w:val="2"/>
              </w:rPr>
              <w:t>3.诊断和鉴别诊断</w:t>
            </w:r>
          </w:p>
        </w:tc>
        <w:tc>
          <w:tcPr>
            <w:tcW w:w="1985" w:type="dxa"/>
          </w:tcPr>
          <w:p>
            <w:pPr>
              <w:pStyle w:val="8"/>
              <w:spacing w:before="101" w:line="232" w:lineRule="auto"/>
              <w:ind w:left="15"/>
            </w:pPr>
            <w:r>
              <w:rPr>
                <w:spacing w:val="5"/>
              </w:rPr>
              <w:t>/</w:t>
            </w:r>
          </w:p>
        </w:tc>
        <w:tc>
          <w:tcPr>
            <w:tcW w:w="1417" w:type="dxa"/>
          </w:tcPr>
          <w:p/>
        </w:tc>
        <w:tc>
          <w:tcPr>
            <w:tcW w:w="3119" w:type="dxa"/>
          </w:tcPr>
          <w:p>
            <w:pPr>
              <w:pStyle w:val="8"/>
              <w:spacing w:before="30" w:line="180" w:lineRule="auto"/>
              <w:ind w:left="24"/>
              <w:rPr>
                <w:lang w:eastAsia="zh-CN"/>
              </w:rPr>
            </w:pPr>
            <w:r>
              <w:rPr>
                <w:spacing w:val="4"/>
                <w:lang w:eastAsia="zh-CN"/>
              </w:rPr>
              <w:t>第五版</w:t>
            </w:r>
            <w:r>
              <w:rPr>
                <w:lang w:eastAsia="zh-CN"/>
              </w:rPr>
              <w:t>WHO</w:t>
            </w:r>
            <w:r>
              <w:rPr>
                <w:spacing w:val="4"/>
                <w:lang w:eastAsia="zh-CN"/>
              </w:rPr>
              <w:t>中枢神经系统肿瘤分类</w:t>
            </w:r>
          </w:p>
          <w:p>
            <w:pPr>
              <w:pStyle w:val="8"/>
              <w:spacing w:line="166" w:lineRule="auto"/>
              <w:ind w:left="47"/>
            </w:pPr>
            <w:r>
              <w:rPr>
                <w:spacing w:val="-2"/>
              </w:rPr>
              <w:t>（2021）</w:t>
            </w:r>
          </w:p>
        </w:tc>
        <w:tc>
          <w:tcPr>
            <w:tcW w:w="1501" w:type="dxa"/>
          </w:tcPr>
          <w:p>
            <w:pPr>
              <w:pStyle w:val="8"/>
              <w:spacing w:before="29" w:line="174" w:lineRule="auto"/>
              <w:ind w:left="25" w:right="114" w:firstLine="11"/>
              <w:rPr>
                <w:spacing w:val="-2"/>
              </w:rPr>
            </w:pPr>
            <w:r>
              <w:rPr>
                <w:rFonts w:hint="eastAsia"/>
                <w:spacing w:val="3"/>
                <w:lang w:eastAsia="zh-CN"/>
              </w:rPr>
              <w:t>否</w:t>
            </w:r>
          </w:p>
        </w:tc>
        <w:tc>
          <w:tcPr>
            <w:tcW w:w="2052" w:type="dxa"/>
          </w:tcPr>
          <w:p>
            <w:pPr>
              <w:pStyle w:val="8"/>
              <w:spacing w:before="29" w:line="174" w:lineRule="auto"/>
              <w:ind w:left="25" w:right="114" w:firstLine="11"/>
              <w:rPr>
                <w:spacing w:val="-2"/>
              </w:rPr>
            </w:pPr>
            <w:r>
              <w:rPr>
                <w:rFonts w:hint="eastAsia"/>
                <w:lang w:eastAsia="zh-CN"/>
              </w:rPr>
              <w:t>是，福建省肿瘤医院</w:t>
            </w:r>
          </w:p>
        </w:tc>
        <w:tc>
          <w:tcPr>
            <w:tcW w:w="1416" w:type="dxa"/>
            <w:vAlign w:val="top"/>
          </w:tcPr>
          <w:p>
            <w:pPr>
              <w:pStyle w:val="8"/>
              <w:spacing w:before="218" w:line="160" w:lineRule="exact"/>
              <w:ind w:left="30" w:leftChars="0"/>
              <w:rPr>
                <w:lang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8" w:hRule="atLeast"/>
        </w:trPr>
        <w:tc>
          <w:tcPr>
            <w:tcW w:w="482" w:type="dxa"/>
            <w:vMerge w:val="continue"/>
            <w:tcBorders>
              <w:top w:val="nil"/>
            </w:tcBorders>
          </w:tcPr>
          <w:p/>
        </w:tc>
        <w:tc>
          <w:tcPr>
            <w:tcW w:w="981" w:type="dxa"/>
            <w:vMerge w:val="continue"/>
            <w:tcBorders>
              <w:top w:val="nil"/>
            </w:tcBorders>
          </w:tcPr>
          <w:p/>
        </w:tc>
        <w:tc>
          <w:tcPr>
            <w:tcW w:w="942" w:type="dxa"/>
          </w:tcPr>
          <w:p>
            <w:pPr>
              <w:pStyle w:val="8"/>
              <w:spacing w:before="137" w:line="177" w:lineRule="auto"/>
              <w:ind w:left="29"/>
            </w:pPr>
            <w:r>
              <w:rPr>
                <w:spacing w:val="-2"/>
              </w:rPr>
              <w:t>FGFR</w:t>
            </w:r>
          </w:p>
        </w:tc>
        <w:tc>
          <w:tcPr>
            <w:tcW w:w="1134" w:type="dxa"/>
          </w:tcPr>
          <w:p>
            <w:pPr>
              <w:pStyle w:val="8"/>
              <w:spacing w:before="128" w:line="187" w:lineRule="auto"/>
              <w:ind w:left="27"/>
            </w:pPr>
            <w:r>
              <w:rPr>
                <w:spacing w:val="2"/>
              </w:rPr>
              <w:t>3.诊断和鉴别诊断</w:t>
            </w:r>
          </w:p>
        </w:tc>
        <w:tc>
          <w:tcPr>
            <w:tcW w:w="1985" w:type="dxa"/>
          </w:tcPr>
          <w:p>
            <w:pPr>
              <w:pStyle w:val="8"/>
              <w:spacing w:before="101" w:line="232" w:lineRule="auto"/>
              <w:ind w:left="15"/>
            </w:pPr>
            <w:r>
              <w:rPr>
                <w:spacing w:val="5"/>
              </w:rPr>
              <w:t>/</w:t>
            </w:r>
          </w:p>
        </w:tc>
        <w:tc>
          <w:tcPr>
            <w:tcW w:w="1417" w:type="dxa"/>
          </w:tcPr>
          <w:p/>
        </w:tc>
        <w:tc>
          <w:tcPr>
            <w:tcW w:w="3119" w:type="dxa"/>
          </w:tcPr>
          <w:p>
            <w:pPr>
              <w:pStyle w:val="8"/>
              <w:spacing w:before="31" w:line="180" w:lineRule="auto"/>
              <w:ind w:left="24"/>
              <w:rPr>
                <w:lang w:eastAsia="zh-CN"/>
              </w:rPr>
            </w:pPr>
            <w:r>
              <w:rPr>
                <w:spacing w:val="4"/>
                <w:lang w:eastAsia="zh-CN"/>
              </w:rPr>
              <w:t>第五版</w:t>
            </w:r>
            <w:r>
              <w:rPr>
                <w:lang w:eastAsia="zh-CN"/>
              </w:rPr>
              <w:t>WHO</w:t>
            </w:r>
            <w:r>
              <w:rPr>
                <w:spacing w:val="4"/>
                <w:lang w:eastAsia="zh-CN"/>
              </w:rPr>
              <w:t>中枢神经系统肿瘤分类</w:t>
            </w:r>
          </w:p>
          <w:p>
            <w:pPr>
              <w:pStyle w:val="8"/>
              <w:spacing w:line="166" w:lineRule="auto"/>
              <w:ind w:left="47"/>
            </w:pPr>
            <w:r>
              <w:rPr>
                <w:spacing w:val="-2"/>
              </w:rPr>
              <w:t>（2021）</w:t>
            </w:r>
          </w:p>
        </w:tc>
        <w:tc>
          <w:tcPr>
            <w:tcW w:w="1501" w:type="dxa"/>
          </w:tcPr>
          <w:p>
            <w:pPr>
              <w:pStyle w:val="8"/>
              <w:spacing w:before="29" w:line="174" w:lineRule="auto"/>
              <w:ind w:left="25" w:right="114" w:firstLine="11"/>
              <w:rPr>
                <w:spacing w:val="-2"/>
              </w:rPr>
            </w:pPr>
            <w:r>
              <w:rPr>
                <w:rFonts w:hint="eastAsia"/>
                <w:spacing w:val="3"/>
                <w:lang w:eastAsia="zh-CN"/>
              </w:rPr>
              <w:t>否</w:t>
            </w:r>
          </w:p>
        </w:tc>
        <w:tc>
          <w:tcPr>
            <w:tcW w:w="2052" w:type="dxa"/>
          </w:tcPr>
          <w:p>
            <w:pPr>
              <w:pStyle w:val="8"/>
              <w:spacing w:before="29" w:line="174" w:lineRule="auto"/>
              <w:ind w:left="25" w:right="114" w:firstLine="11"/>
              <w:rPr>
                <w:spacing w:val="-2"/>
              </w:rPr>
            </w:pPr>
            <w:r>
              <w:rPr>
                <w:rFonts w:hint="eastAsia"/>
                <w:lang w:eastAsia="zh-CN"/>
              </w:rPr>
              <w:t>是，福建省肿瘤医院</w:t>
            </w:r>
          </w:p>
        </w:tc>
        <w:tc>
          <w:tcPr>
            <w:tcW w:w="1416" w:type="dxa"/>
            <w:vAlign w:val="top"/>
          </w:tcPr>
          <w:p>
            <w:pPr>
              <w:pStyle w:val="8"/>
              <w:spacing w:before="218" w:line="160" w:lineRule="exact"/>
              <w:ind w:left="30" w:leftChars="0"/>
              <w:rPr>
                <w:lang w:eastAsia="zh-CN"/>
              </w:rPr>
            </w:pPr>
            <w:r>
              <w:rPr>
                <w:rFonts w:hint="eastAsia"/>
                <w:lang w:val="en-US" w:eastAsia="zh-CN"/>
              </w:rPr>
              <w:t>972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482" w:type="dxa"/>
          </w:tcPr>
          <w:p>
            <w:pPr>
              <w:pStyle w:val="8"/>
              <w:spacing w:before="138" w:line="177" w:lineRule="auto"/>
              <w:ind w:left="29"/>
              <w:rPr>
                <w:spacing w:val="-2"/>
              </w:rPr>
            </w:pPr>
            <w:r>
              <w:rPr>
                <w:rFonts w:hint="eastAsia"/>
                <w:spacing w:val="-2"/>
                <w:lang w:eastAsia="zh-CN"/>
              </w:rPr>
              <w:t>22</w:t>
            </w:r>
          </w:p>
        </w:tc>
        <w:tc>
          <w:tcPr>
            <w:tcW w:w="981" w:type="dxa"/>
          </w:tcPr>
          <w:p>
            <w:pPr>
              <w:pStyle w:val="8"/>
              <w:spacing w:before="128" w:line="187" w:lineRule="auto"/>
              <w:ind w:left="17"/>
              <w:rPr>
                <w:spacing w:val="3"/>
              </w:rPr>
            </w:pPr>
            <w:r>
              <w:rPr>
                <w:rFonts w:hint="eastAsia"/>
                <w:spacing w:val="3"/>
                <w:lang w:eastAsia="zh-CN"/>
              </w:rPr>
              <w:t>胃癌</w:t>
            </w:r>
          </w:p>
        </w:tc>
        <w:tc>
          <w:tcPr>
            <w:tcW w:w="942" w:type="dxa"/>
          </w:tcPr>
          <w:p>
            <w:pPr>
              <w:pStyle w:val="8"/>
              <w:spacing w:before="129" w:line="186" w:lineRule="auto"/>
              <w:ind w:left="29"/>
            </w:pPr>
            <w:r>
              <w:t>ERBB</w:t>
            </w:r>
            <w:r>
              <w:rPr>
                <w:spacing w:val="2"/>
              </w:rPr>
              <w:t>2(</w:t>
            </w:r>
            <w:r>
              <w:t>HER</w:t>
            </w:r>
            <w:r>
              <w:rPr>
                <w:spacing w:val="2"/>
              </w:rPr>
              <w:t>2)</w:t>
            </w:r>
          </w:p>
        </w:tc>
        <w:tc>
          <w:tcPr>
            <w:tcW w:w="1134" w:type="dxa"/>
          </w:tcPr>
          <w:p>
            <w:pPr>
              <w:pStyle w:val="8"/>
              <w:spacing w:before="128" w:line="187" w:lineRule="auto"/>
              <w:ind w:left="27"/>
              <w:rPr>
                <w:spacing w:val="2"/>
              </w:rPr>
            </w:pPr>
            <w:r>
              <w:rPr>
                <w:spacing w:val="1"/>
              </w:rPr>
              <w:t>1.指导靶向治疗</w:t>
            </w:r>
          </w:p>
        </w:tc>
        <w:tc>
          <w:tcPr>
            <w:tcW w:w="1985" w:type="dxa"/>
            <w:vAlign w:val="center"/>
          </w:tcPr>
          <w:p>
            <w:pPr>
              <w:pStyle w:val="8"/>
              <w:spacing w:before="102" w:line="232" w:lineRule="auto"/>
              <w:ind w:left="15"/>
              <w:rPr>
                <w:spacing w:val="5"/>
                <w:lang w:eastAsia="zh-CN"/>
              </w:rPr>
            </w:pPr>
            <w:r>
              <w:rPr>
                <w:lang w:eastAsia="zh-CN"/>
              </w:rPr>
              <w:t>FDA</w:t>
            </w:r>
            <w:r>
              <w:rPr>
                <w:spacing w:val="2"/>
                <w:lang w:eastAsia="zh-CN"/>
              </w:rPr>
              <w:t>加速批准德曲妥珠单抗用于治疗不可切除或转移性的</w:t>
            </w:r>
            <w:r>
              <w:rPr>
                <w:lang w:eastAsia="zh-CN"/>
              </w:rPr>
              <w:t>HER</w:t>
            </w:r>
            <w:r>
              <w:rPr>
                <w:spacing w:val="2"/>
                <w:lang w:eastAsia="zh-CN"/>
              </w:rPr>
              <w:t>2阳性 （免疫组化</w:t>
            </w:r>
            <w:r>
              <w:rPr>
                <w:spacing w:val="16"/>
                <w:lang w:eastAsia="zh-CN"/>
              </w:rPr>
              <w:t xml:space="preserve"> </w:t>
            </w:r>
            <w:r>
              <w:rPr>
                <w:spacing w:val="-5"/>
                <w:lang w:eastAsia="zh-CN"/>
              </w:rPr>
              <w:t>3+） 实体瘤</w:t>
            </w:r>
          </w:p>
        </w:tc>
        <w:tc>
          <w:tcPr>
            <w:tcW w:w="1417" w:type="dxa"/>
          </w:tcPr>
          <w:p>
            <w:pPr>
              <w:pStyle w:val="8"/>
              <w:spacing w:before="128" w:line="187" w:lineRule="auto"/>
              <w:ind w:left="25"/>
              <w:rPr>
                <w:spacing w:val="3"/>
                <w:lang w:eastAsia="zh-CN"/>
              </w:rPr>
            </w:pPr>
            <w:r>
              <w:rPr>
                <w:rFonts w:hint="eastAsia"/>
                <w:spacing w:val="3"/>
                <w:lang w:eastAsia="zh-CN"/>
              </w:rPr>
              <w:t>胃</w:t>
            </w:r>
            <w:r>
              <w:rPr>
                <w:spacing w:val="3"/>
              </w:rPr>
              <w:t>癌</w:t>
            </w:r>
          </w:p>
        </w:tc>
        <w:tc>
          <w:tcPr>
            <w:tcW w:w="3119" w:type="dxa"/>
          </w:tcPr>
          <w:p>
            <w:pPr>
              <w:pStyle w:val="8"/>
              <w:spacing w:before="30" w:line="176" w:lineRule="auto"/>
              <w:ind w:left="46" w:right="114" w:hanging="13"/>
              <w:rPr>
                <w:spacing w:val="3"/>
                <w:lang w:eastAsia="zh-CN"/>
              </w:rPr>
            </w:pPr>
            <w:r>
              <w:rPr>
                <w:lang w:eastAsia="zh-CN"/>
              </w:rPr>
              <w:t>NCCN指南</w:t>
            </w:r>
            <w:r>
              <w:rPr>
                <w:rFonts w:hint="eastAsia"/>
                <w:lang w:eastAsia="zh-CN"/>
              </w:rPr>
              <w:t>胃癌</w:t>
            </w:r>
            <w:r>
              <w:rPr>
                <w:lang w:eastAsia="zh-CN"/>
              </w:rPr>
              <w:t xml:space="preserve"> （2024.V</w:t>
            </w:r>
            <w:r>
              <w:rPr>
                <w:rFonts w:hint="eastAsia"/>
                <w:lang w:eastAsia="zh-CN"/>
              </w:rPr>
              <w:t>1</w:t>
            </w:r>
            <w:r>
              <w:rPr>
                <w:lang w:eastAsia="zh-CN"/>
              </w:rPr>
              <w:t>）</w:t>
            </w:r>
          </w:p>
        </w:tc>
        <w:tc>
          <w:tcPr>
            <w:tcW w:w="1501" w:type="dxa"/>
          </w:tcPr>
          <w:p>
            <w:pPr>
              <w:pStyle w:val="8"/>
              <w:spacing w:before="25" w:line="176" w:lineRule="auto"/>
              <w:ind w:left="21" w:right="391" w:firstLine="9"/>
              <w:rPr>
                <w:lang w:eastAsia="zh-CN"/>
              </w:rPr>
            </w:pPr>
            <w:r>
              <w:rPr>
                <w:rFonts w:hint="eastAsia"/>
                <w:lang w:eastAsia="zh-CN"/>
              </w:rPr>
              <w:t>是</w:t>
            </w:r>
          </w:p>
        </w:tc>
        <w:tc>
          <w:tcPr>
            <w:tcW w:w="2052" w:type="dxa"/>
          </w:tcPr>
          <w:p>
            <w:pPr>
              <w:pStyle w:val="8"/>
              <w:spacing w:before="25" w:line="176" w:lineRule="auto"/>
              <w:ind w:left="21" w:right="391" w:firstLine="9"/>
              <w:rPr>
                <w:lang w:eastAsia="zh-CN"/>
              </w:rPr>
            </w:pPr>
          </w:p>
        </w:tc>
        <w:tc>
          <w:tcPr>
            <w:tcW w:w="1416" w:type="dxa"/>
          </w:tcPr>
          <w:p>
            <w:pPr>
              <w:pStyle w:val="8"/>
              <w:spacing w:before="218" w:line="160" w:lineRule="exact"/>
              <w:rPr>
                <w:lang w:eastAsia="zh-CN"/>
              </w:rPr>
            </w:pPr>
            <w:r>
              <w:rPr>
                <w:rFonts w:hint="eastAsia"/>
                <w:lang w:eastAsia="zh-CN"/>
              </w:rPr>
              <w:t>972</w:t>
            </w:r>
          </w:p>
        </w:tc>
      </w:tr>
    </w:tbl>
    <w:p>
      <w:pPr>
        <w:spacing w:before="54" w:line="188" w:lineRule="auto"/>
        <w:ind w:left="31"/>
        <w:rPr>
          <w:rFonts w:ascii="微软雅黑" w:hAnsi="微软雅黑" w:eastAsia="微软雅黑" w:cs="微软雅黑"/>
          <w:sz w:val="14"/>
          <w:szCs w:val="14"/>
          <w:lang w:eastAsia="zh-CN"/>
        </w:rPr>
      </w:pPr>
      <w:r>
        <w:rPr>
          <w:rFonts w:ascii="微软雅黑" w:hAnsi="微软雅黑" w:eastAsia="微软雅黑" w:cs="微软雅黑"/>
          <w:spacing w:val="-1"/>
          <w:sz w:val="14"/>
          <w:szCs w:val="14"/>
          <w:lang w:eastAsia="zh-CN"/>
        </w:rPr>
        <w:t>备注： 基因检测意义共分为6类，</w:t>
      </w:r>
      <w:r>
        <w:rPr>
          <w:rFonts w:ascii="微软雅黑" w:hAnsi="微软雅黑" w:eastAsia="微软雅黑" w:cs="微软雅黑"/>
          <w:spacing w:val="11"/>
          <w:w w:val="101"/>
          <w:sz w:val="14"/>
          <w:szCs w:val="14"/>
          <w:lang w:eastAsia="zh-CN"/>
        </w:rPr>
        <w:t xml:space="preserve"> </w:t>
      </w:r>
      <w:r>
        <w:rPr>
          <w:rFonts w:ascii="微软雅黑" w:hAnsi="微软雅黑" w:eastAsia="微软雅黑" w:cs="微软雅黑"/>
          <w:spacing w:val="-1"/>
          <w:sz w:val="14"/>
          <w:szCs w:val="14"/>
          <w:lang w:eastAsia="zh-CN"/>
        </w:rPr>
        <w:t>1.指导靶向治疗； 2.指导免疫治疗； 3.诊断和鉴别诊断； 4.分子分型； 5.预后评估； 6</w:t>
      </w:r>
      <w:r>
        <w:rPr>
          <w:rFonts w:ascii="微软雅黑" w:hAnsi="微软雅黑" w:eastAsia="微软雅黑" w:cs="微软雅黑"/>
          <w:spacing w:val="-2"/>
          <w:sz w:val="14"/>
          <w:szCs w:val="14"/>
          <w:lang w:eastAsia="zh-CN"/>
        </w:rPr>
        <w:t>.指导化疗。</w:t>
      </w:r>
    </w:p>
    <w:sectPr>
      <w:footerReference r:id="rId10" w:type="default"/>
      <w:pgSz w:w="16837" w:h="11905"/>
      <w:pgMar w:top="400" w:right="531" w:bottom="403" w:left="393" w:header="0" w:footer="239"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727"/>
      <w:rPr>
        <w:rFonts w:ascii="宋体" w:hAnsi="宋体" w:eastAsia="宋体" w:cs="宋体"/>
        <w:sz w:val="16"/>
        <w:szCs w:val="16"/>
      </w:rPr>
    </w:pPr>
    <w:r>
      <w:rPr>
        <w:rFonts w:ascii="宋体" w:hAnsi="宋体" w:eastAsia="宋体" w:cs="宋体"/>
        <w:spacing w:val="1"/>
        <w:sz w:val="16"/>
        <w:szCs w:val="16"/>
      </w:rPr>
      <w:t>—</w:t>
    </w:r>
    <w:r>
      <w:rPr>
        <w:rFonts w:ascii="宋体" w:hAnsi="宋体" w:eastAsia="宋体" w:cs="宋体"/>
        <w:spacing w:val="9"/>
        <w:sz w:val="16"/>
        <w:szCs w:val="16"/>
      </w:rPr>
      <w:t xml:space="preserve"> </w:t>
    </w:r>
    <w:r>
      <w:rPr>
        <w:rFonts w:ascii="宋体" w:hAnsi="宋体" w:eastAsia="宋体" w:cs="宋体"/>
        <w:spacing w:val="1"/>
        <w:sz w:val="16"/>
        <w:szCs w:val="16"/>
      </w:rPr>
      <w:t>4</w:t>
    </w:r>
    <w:r>
      <w:rPr>
        <w:rFonts w:ascii="宋体" w:hAnsi="宋体" w:eastAsia="宋体" w:cs="宋体"/>
        <w:spacing w:val="12"/>
        <w:sz w:val="16"/>
        <w:szCs w:val="16"/>
      </w:rPr>
      <w:t xml:space="preserve"> </w:t>
    </w:r>
    <w:r>
      <w:rPr>
        <w:rFonts w:ascii="宋体" w:hAnsi="宋体" w:eastAsia="宋体" w:cs="宋体"/>
        <w:spacing w:val="1"/>
        <w:sz w:val="16"/>
        <w:szCs w:val="16"/>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6" w:lineRule="auto"/>
      <w:ind w:left="14740"/>
    </w:pPr>
    <w:r>
      <w:rPr>
        <w:spacing w:val="-1"/>
      </w:rPr>
      <w:t>—</w:t>
    </w:r>
    <w:r>
      <w:rPr>
        <w:spacing w:val="15"/>
      </w:rPr>
      <w:t xml:space="preserve"> </w:t>
    </w:r>
    <w:r>
      <w:rPr>
        <w:spacing w:val="-1"/>
      </w:rPr>
      <w:t>5</w:t>
    </w:r>
    <w:r>
      <w:rPr>
        <w:spacing w:val="12"/>
      </w:rPr>
      <w:t xml:space="preserve"> </w:t>
    </w:r>
    <w:r>
      <w:rPr>
        <w:spacing w:val="-1"/>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7" w:lineRule="auto"/>
      <w:ind w:left="727"/>
    </w:pPr>
    <w:r>
      <w:t>—</w:t>
    </w:r>
    <w:r>
      <w:rPr>
        <w:spacing w:val="12"/>
      </w:rPr>
      <w:t xml:space="preserve"> </w:t>
    </w:r>
    <w:r>
      <w:t>6</w:t>
    </w:r>
    <w:r>
      <w:rPr>
        <w:spacing w:val="12"/>
      </w:rPr>
      <w:t xml:space="preserve"> </w:t>
    </w:r>
    <w: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6" w:lineRule="auto"/>
      <w:ind w:left="14740"/>
    </w:pPr>
    <w:r>
      <w:rPr>
        <w:spacing w:val="-1"/>
      </w:rPr>
      <w:t>—</w:t>
    </w:r>
    <w:r>
      <w:rPr>
        <w:spacing w:val="15"/>
      </w:rPr>
      <w:t xml:space="preserve"> </w:t>
    </w:r>
    <w:r>
      <w:rPr>
        <w:spacing w:val="-1"/>
      </w:rPr>
      <w:t>7</w:t>
    </w:r>
    <w:r>
      <w:rPr>
        <w:spacing w:val="12"/>
      </w:rPr>
      <w:t xml:space="preserve"> </w:t>
    </w:r>
    <w:r>
      <w:rPr>
        <w:spacing w:val="-1"/>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7" w:lineRule="auto"/>
      <w:ind w:left="14740"/>
    </w:pPr>
    <w:r>
      <w:t>—</w:t>
    </w:r>
    <w:r>
      <w:rPr>
        <w:spacing w:val="12"/>
      </w:rPr>
      <w:t xml:space="preserve"> </w:t>
    </w:r>
    <w:r>
      <w:t>9</w:t>
    </w:r>
    <w:r>
      <w:rPr>
        <w:spacing w:val="12"/>
      </w:rPr>
      <w:t xml:space="preserve"> </w:t>
    </w:r>
    <w: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8" w:lineRule="auto"/>
      <w:ind w:left="727"/>
    </w:pPr>
    <w:r>
      <w:rPr>
        <w:spacing w:val="-2"/>
      </w:rPr>
      <w:t>—</w:t>
    </w:r>
    <w:r>
      <w:rPr>
        <w:spacing w:val="25"/>
      </w:rPr>
      <w:t xml:space="preserve"> </w:t>
    </w:r>
    <w:r>
      <w:rPr>
        <w:spacing w:val="-2"/>
      </w:rPr>
      <w:t>10</w:t>
    </w:r>
    <w:r>
      <w:rPr>
        <w:spacing w:val="8"/>
      </w:rPr>
      <w:t xml:space="preserve"> </w:t>
    </w:r>
    <w:r>
      <w:rPr>
        <w:spacing w:val="-2"/>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8" w:lineRule="auto"/>
      <w:ind w:left="14650"/>
    </w:pPr>
    <w:r>
      <w:rPr>
        <w:spacing w:val="-2"/>
      </w:rPr>
      <w:t>—</w:t>
    </w:r>
    <w:r>
      <w:rPr>
        <w:spacing w:val="34"/>
      </w:rPr>
      <w:t xml:space="preserve"> </w:t>
    </w:r>
    <w:r>
      <w:rPr>
        <w:spacing w:val="-2"/>
      </w:rPr>
      <w:t>11</w:t>
    </w:r>
    <w:r>
      <w:rPr>
        <w:spacing w:val="8"/>
      </w:rPr>
      <w:t xml:space="preserve"> </w:t>
    </w:r>
    <w:r>
      <w:rPr>
        <w:spacing w:val="-2"/>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I4YWE1ZmExNTA5YTM5ZDRkMDgxZDZiOTRkNjUyMDQifQ=="/>
  </w:docVars>
  <w:rsids>
    <w:rsidRoot w:val="004430C5"/>
    <w:rsid w:val="00066FBD"/>
    <w:rsid w:val="00075C76"/>
    <w:rsid w:val="00170ED7"/>
    <w:rsid w:val="002B4681"/>
    <w:rsid w:val="003219C8"/>
    <w:rsid w:val="004430C5"/>
    <w:rsid w:val="00476524"/>
    <w:rsid w:val="00710381"/>
    <w:rsid w:val="00724889"/>
    <w:rsid w:val="0073640B"/>
    <w:rsid w:val="00866A37"/>
    <w:rsid w:val="009015F3"/>
    <w:rsid w:val="00936F7B"/>
    <w:rsid w:val="009A4646"/>
    <w:rsid w:val="009E50B6"/>
    <w:rsid w:val="00B311AD"/>
    <w:rsid w:val="00B50244"/>
    <w:rsid w:val="00B61B6E"/>
    <w:rsid w:val="00CE68CC"/>
    <w:rsid w:val="00DD0F4D"/>
    <w:rsid w:val="00E95034"/>
    <w:rsid w:val="00F144CE"/>
    <w:rsid w:val="00F205DD"/>
    <w:rsid w:val="00F31B39"/>
    <w:rsid w:val="00F4400C"/>
    <w:rsid w:val="00F62F32"/>
    <w:rsid w:val="00F854D6"/>
    <w:rsid w:val="011B2881"/>
    <w:rsid w:val="06040FED"/>
    <w:rsid w:val="0DA6583B"/>
    <w:rsid w:val="28C51912"/>
    <w:rsid w:val="37F67BB6"/>
    <w:rsid w:val="3D416DC3"/>
    <w:rsid w:val="42AC2B11"/>
    <w:rsid w:val="52D14F23"/>
    <w:rsid w:val="551B5C22"/>
    <w:rsid w:val="55AB23B1"/>
    <w:rsid w:val="58C029FD"/>
    <w:rsid w:val="5D6820BD"/>
    <w:rsid w:val="5FC5682F"/>
    <w:rsid w:val="610E42A8"/>
    <w:rsid w:val="6FA97789"/>
    <w:rsid w:val="717E5E7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16"/>
      <w:szCs w:val="16"/>
    </w:rPr>
  </w:style>
  <w:style w:type="paragraph" w:styleId="3">
    <w:name w:val="footer"/>
    <w:basedOn w:val="1"/>
    <w:link w:val="10"/>
    <w:uiPriority w:val="0"/>
    <w:pPr>
      <w:tabs>
        <w:tab w:val="center" w:pos="4153"/>
        <w:tab w:val="right" w:pos="8306"/>
      </w:tabs>
    </w:pPr>
    <w:rPr>
      <w:sz w:val="18"/>
      <w:szCs w:val="18"/>
    </w:rPr>
  </w:style>
  <w:style w:type="paragraph" w:styleId="4">
    <w:name w:val="header"/>
    <w:basedOn w:val="1"/>
    <w:link w:val="9"/>
    <w:qFormat/>
    <w:uiPriority w:val="0"/>
    <w:pPr>
      <w:pBdr>
        <w:bottom w:val="single" w:color="auto" w:sz="6" w:space="1"/>
      </w:pBdr>
      <w:tabs>
        <w:tab w:val="center" w:pos="4153"/>
        <w:tab w:val="right" w:pos="8306"/>
      </w:tabs>
      <w:jc w:val="center"/>
    </w:pPr>
    <w:rPr>
      <w:sz w:val="18"/>
      <w:szCs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微软雅黑" w:hAnsi="微软雅黑" w:eastAsia="微软雅黑" w:cs="微软雅黑"/>
      <w:sz w:val="14"/>
      <w:szCs w:val="14"/>
    </w:rPr>
  </w:style>
  <w:style w:type="character" w:customStyle="1" w:styleId="9">
    <w:name w:val="页眉 字符"/>
    <w:basedOn w:val="6"/>
    <w:link w:val="4"/>
    <w:uiPriority w:val="0"/>
    <w:rPr>
      <w:rFonts w:eastAsia="Arial"/>
      <w:snapToGrid w:val="0"/>
      <w:color w:val="000000"/>
      <w:sz w:val="18"/>
      <w:szCs w:val="18"/>
      <w:lang w:eastAsia="en-US"/>
    </w:rPr>
  </w:style>
  <w:style w:type="character" w:customStyle="1" w:styleId="10">
    <w:name w:val="页脚 字符"/>
    <w:basedOn w:val="6"/>
    <w:link w:val="3"/>
    <w:qFormat/>
    <w:uiPriority w:val="0"/>
    <w:rPr>
      <w:rFonts w:eastAsia="Arial"/>
      <w:snapToGrid w:val="0"/>
      <w:color w:val="00000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1864</Words>
  <Characters>10628</Characters>
  <Lines>88</Lines>
  <Paragraphs>24</Paragraphs>
  <TotalTime>19</TotalTime>
  <ScaleCrop>false</ScaleCrop>
  <LinksUpToDate>false</LinksUpToDate>
  <CharactersWithSpaces>12468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2024-07-30T01:42:00Z</dcterms:created>
  <dc:creator>kookv</dc:creator>
  <cp:lastModifiedBy>凯风婴城</cp:lastModifiedBy>
  <dcterms:modified xsi:type="dcterms:W3CDTF">2024-07-30T03:38:49Z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2024-07-12T14:51:49Z</vt:filetime>
  </property>
  <property fmtid="{D5CDD505-2E9C-101B-9397-08002B2CF9AE}" pid="4" name="KSOProductBuildVer">
    <vt:lpwstr>2052-12.1.0.15990</vt:lpwstr>
  </property>
  <property fmtid="{D5CDD505-2E9C-101B-9397-08002B2CF9AE}" pid="5" name="ICV">
    <vt:lpwstr>D2FC809EB2864B76AA3DC182EEC8553A_13</vt:lpwstr>
  </property>
</Properties>
</file>